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rFonts w:ascii="Verdana"/>
          <w:b/>
          <w:color w:val="1e1916"/>
          <w:sz w:val="48"/>
          <w:szCs w:val="4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-536305</wp:posOffset>
                </wp:positionH>
                <wp:positionV relativeFrom="paragraph">
                  <wp:posOffset>-432435</wp:posOffset>
                </wp:positionV>
                <wp:extent cx="1828800" cy="540714"/>
                <wp:effectExtent l="0" t="0" r="0" b="0"/>
                <wp:wrapNone/>
                <wp:docPr id="4" name="Рисунок 38" descr="D:\YandexDisk-Ludmila.G.K\ВЭД\Логотипы_СпортРус_Aerofit\aerofit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 descr="D:\YandexDisk-Ludmila.G.K\ВЭД\Логотипы_СпортРус_Aerofit\aerofit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1828800" cy="5407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251740160;o:allowoverlap:true;o:allowincell:true;mso-position-horizontal-relative:text;margin-left:-42.23pt;mso-position-horizontal:absolute;mso-position-vertical-relative:text;margin-top:-34.05pt;mso-position-vertical:absolute;width:144.00pt;height:42.58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586559" behindDoc="0" locked="0" layoutInCell="1" allowOverlap="1">
                <wp:simplePos x="0" y="0"/>
                <wp:positionH relativeFrom="column">
                  <wp:posOffset>-805343</wp:posOffset>
                </wp:positionH>
                <wp:positionV relativeFrom="paragraph">
                  <wp:posOffset>-733425</wp:posOffset>
                </wp:positionV>
                <wp:extent cx="5038725" cy="2390775"/>
                <wp:effectExtent l="0" t="0" r="8890" b="0"/>
                <wp:wrapNone/>
                <wp:docPr id="5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038725" cy="2390775"/>
                        </a:xfrm>
                        <a:custGeom>
                          <a:avLst/>
                          <a:gdLst>
                            <a:gd name="T0" fmla="*/ 0 w 5593146"/>
                            <a:gd name="T1" fmla="*/ 0 h 2519350"/>
                            <a:gd name="T2" fmla="*/ 0 w 5593146"/>
                            <a:gd name="T3" fmla="*/ 2519350 h 2519350"/>
                            <a:gd name="T4" fmla="*/ 67468 w 5593146"/>
                            <a:gd name="T5" fmla="*/ 2449500 h 2519350"/>
                            <a:gd name="T6" fmla="*/ 140493 w 5593146"/>
                            <a:gd name="T7" fmla="*/ 2378856 h 2519350"/>
                            <a:gd name="T8" fmla="*/ 219868 w 5593146"/>
                            <a:gd name="T9" fmla="*/ 2307418 h 2519350"/>
                            <a:gd name="T10" fmla="*/ 304800 w 5593146"/>
                            <a:gd name="T11" fmla="*/ 2235187 h 2519350"/>
                            <a:gd name="T12" fmla="*/ 395287 w 5593146"/>
                            <a:gd name="T13" fmla="*/ 2162956 h 2519350"/>
                            <a:gd name="T14" fmla="*/ 491331 w 5593146"/>
                            <a:gd name="T15" fmla="*/ 2089931 h 2519350"/>
                            <a:gd name="T16" fmla="*/ 592931 w 5593146"/>
                            <a:gd name="T17" fmla="*/ 2016906 h 2519350"/>
                            <a:gd name="T18" fmla="*/ 699293 w 5593146"/>
                            <a:gd name="T19" fmla="*/ 1943087 h 2519350"/>
                            <a:gd name="T20" fmla="*/ 811212 w 5593146"/>
                            <a:gd name="T21" fmla="*/ 1869268 h 2519350"/>
                            <a:gd name="T22" fmla="*/ 927893 w 5593146"/>
                            <a:gd name="T23" fmla="*/ 1795450 h 2519350"/>
                            <a:gd name="T24" fmla="*/ 1050131 w 5593146"/>
                            <a:gd name="T25" fmla="*/ 1720837 h 2519350"/>
                            <a:gd name="T26" fmla="*/ 1176337 w 5593146"/>
                            <a:gd name="T27" fmla="*/ 1647018 h 2519350"/>
                            <a:gd name="T28" fmla="*/ 1443831 w 5593146"/>
                            <a:gd name="T29" fmla="*/ 1499381 h 2519350"/>
                            <a:gd name="T30" fmla="*/ 1727993 w 5593146"/>
                            <a:gd name="T31" fmla="*/ 1351743 h 2519350"/>
                            <a:gd name="T32" fmla="*/ 2029618 w 5593146"/>
                            <a:gd name="T33" fmla="*/ 1206487 h 2519350"/>
                            <a:gd name="T34" fmla="*/ 2346325 w 5593146"/>
                            <a:gd name="T35" fmla="*/ 1062818 h 2519350"/>
                            <a:gd name="T36" fmla="*/ 2678112 w 5593146"/>
                            <a:gd name="T37" fmla="*/ 922325 h 2519350"/>
                            <a:gd name="T38" fmla="*/ 3023393 w 5593146"/>
                            <a:gd name="T39" fmla="*/ 785006 h 2519350"/>
                            <a:gd name="T40" fmla="*/ 3381375 w 5593146"/>
                            <a:gd name="T41" fmla="*/ 650862 h 2519350"/>
                            <a:gd name="T42" fmla="*/ 3750468 w 5593146"/>
                            <a:gd name="T43" fmla="*/ 521481 h 2519350"/>
                            <a:gd name="T44" fmla="*/ 4130675 w 5593146"/>
                            <a:gd name="T45" fmla="*/ 397656 h 2519350"/>
                            <a:gd name="T46" fmla="*/ 4521200 w 5593146"/>
                            <a:gd name="T47" fmla="*/ 279387 h 2519350"/>
                            <a:gd name="T48" fmla="*/ 5029993 w 5593146"/>
                            <a:gd name="T49" fmla="*/ 138100 h 2519350"/>
                            <a:gd name="T50" fmla="*/ 5527675 w 5593146"/>
                            <a:gd name="T51" fmla="*/ 14275 h 2519350"/>
                            <a:gd name="T52" fmla="*/ 5593146 w 5593146"/>
                            <a:gd name="T53" fmla="*/ 0 h 2519350"/>
                            <a:gd name="T54" fmla="*/ 0 w 5593146"/>
                            <a:gd name="T55" fmla="*/ 0 h 2519350"/>
                            <a:gd name="T56" fmla="*/ 0 w 5593146"/>
                            <a:gd name="T57" fmla="*/ 0 h 2519350"/>
                            <a:gd name="T58" fmla="*/ 5593146 w 5593146"/>
                            <a:gd name="T59" fmla="*/ 2519350 h 25193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T56" t="T57" r="T58" b="T59"/>
                          <a:pathLst>
                            <a:path w="5593146" h="2519350" fill="norm" stroke="1" extrusionOk="0">
                              <a:moveTo>
                                <a:pt x="0" y="0"/>
                              </a:moveTo>
                              <a:lnTo>
                                <a:pt x="0" y="2519350"/>
                              </a:lnTo>
                              <a:lnTo>
                                <a:pt x="67468" y="2449500"/>
                              </a:lnTo>
                              <a:lnTo>
                                <a:pt x="140493" y="2378856"/>
                              </a:lnTo>
                              <a:lnTo>
                                <a:pt x="219868" y="2307418"/>
                              </a:lnTo>
                              <a:lnTo>
                                <a:pt x="304800" y="2235187"/>
                              </a:lnTo>
                              <a:lnTo>
                                <a:pt x="395287" y="2162956"/>
                              </a:lnTo>
                              <a:lnTo>
                                <a:pt x="491331" y="2089931"/>
                              </a:lnTo>
                              <a:lnTo>
                                <a:pt x="592931" y="2016906"/>
                              </a:lnTo>
                              <a:lnTo>
                                <a:pt x="699293" y="1943087"/>
                              </a:lnTo>
                              <a:lnTo>
                                <a:pt x="811212" y="1869268"/>
                              </a:lnTo>
                              <a:lnTo>
                                <a:pt x="927893" y="1795450"/>
                              </a:lnTo>
                              <a:lnTo>
                                <a:pt x="1050131" y="1720837"/>
                              </a:lnTo>
                              <a:lnTo>
                                <a:pt x="1176337" y="1647018"/>
                              </a:lnTo>
                              <a:lnTo>
                                <a:pt x="1443831" y="1499381"/>
                              </a:lnTo>
                              <a:lnTo>
                                <a:pt x="1727993" y="1351743"/>
                              </a:lnTo>
                              <a:lnTo>
                                <a:pt x="2029618" y="1206487"/>
                              </a:lnTo>
                              <a:lnTo>
                                <a:pt x="2346325" y="1062818"/>
                              </a:lnTo>
                              <a:lnTo>
                                <a:pt x="2678112" y="922325"/>
                              </a:lnTo>
                              <a:lnTo>
                                <a:pt x="3023393" y="785006"/>
                              </a:lnTo>
                              <a:lnTo>
                                <a:pt x="3381375" y="650862"/>
                              </a:lnTo>
                              <a:lnTo>
                                <a:pt x="3750468" y="521481"/>
                              </a:lnTo>
                              <a:lnTo>
                                <a:pt x="4130675" y="397656"/>
                              </a:lnTo>
                              <a:lnTo>
                                <a:pt x="4521200" y="279387"/>
                              </a:lnTo>
                              <a:lnTo>
                                <a:pt x="5029993" y="138100"/>
                              </a:lnTo>
                              <a:lnTo>
                                <a:pt x="5527675" y="14275"/>
                              </a:lnTo>
                              <a:lnTo>
                                <a:pt x="559314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" o:spid="_x0000_s4" style="position:absolute;z-index:251586559;o:allowoverlap:true;o:allowincell:true;mso-position-horizontal-relative:text;margin-left:-63.41pt;mso-position-horizontal:absolute;mso-position-vertical-relative:text;margin-top:-57.75pt;mso-position-vertical:absolute;width:396.75pt;height:188.25pt;mso-wrap-distance-left:9.00pt;mso-wrap-distance-top:0.00pt;mso-wrap-distance-right:9.00pt;mso-wrap-distance-bottom:0.00pt;visibility:visible;" path="m0,0l0,100000l1206,97227l2512,94421l3931,91586l5449,88720l7067,85852l8782,82954l10600,80056l12502,77125l14502,74194l16588,71266l18773,68303l21030,65373l25813,59514l30894,53653l36287,47887l41949,42185l47882,36609l54053,31157l60454,25833l67053,20697l73852,15782l80833,11088l89931,5481l98829,565l100000,0l0,0xe" coordsize="100000,100000" fillcolor="#DDDDDD" stroked="f">
                <v:path textboxrect="0,0,100000,10000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714560" behindDoc="1" locked="0" layoutInCell="0" allowOverlap="1">
                <wp:simplePos x="0" y="0"/>
                <wp:positionH relativeFrom="page">
                  <wp:posOffset>481707</wp:posOffset>
                </wp:positionH>
                <wp:positionV relativeFrom="page">
                  <wp:posOffset>10025042</wp:posOffset>
                </wp:positionV>
                <wp:extent cx="6616700" cy="163697"/>
                <wp:effectExtent l="0" t="0" r="0" b="0"/>
                <wp:wrapNone/>
                <wp:docPr id="6" name="drawingObject6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616700" cy="163697"/>
                          <a:chOff x="0" y="0"/>
                          <a:chExt cx="6616700" cy="163697"/>
                        </a:xfrm>
                        <a:noFill/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163697"/>
                            <a:ext cx="6616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6700" fill="norm" stroke="1" extrusionOk="0">
                                <a:moveTo>
                                  <a:pt x="0" y="0"/>
                                </a:moveTo>
                                <a:lnTo>
                                  <a:pt x="6616700" y="0"/>
                                </a:lnTo>
                              </a:path>
                            </a:pathLst>
                          </a:custGeom>
                          <a:noFill/>
                          <a:ln w="1270" cap="flat">
                            <a:solidFill>
                              <a:srgbClr val="55585E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5494895" y="0"/>
                            <a:ext cx="1121790" cy="156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1790" h="156629" fill="norm" stroke="1" extrusionOk="0">
                                <a:moveTo>
                                  <a:pt x="152400" y="0"/>
                                </a:moveTo>
                                <a:lnTo>
                                  <a:pt x="0" y="156629"/>
                                </a:lnTo>
                                <a:lnTo>
                                  <a:pt x="1121790" y="156629"/>
                                </a:lnTo>
                                <a:lnTo>
                                  <a:pt x="1121790" y="0"/>
                                </a:ln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solidFill>
                            <a:srgbClr val="9C9A9A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0000" style="position:absolute;z-index:-251714560;o:allowoverlap:true;o:allowincell:false;mso-position-horizontal-relative:page;margin-left:37.93pt;mso-position-horizontal:absolute;mso-position-vertical-relative:page;margin-top:789.37pt;mso-position-vertical:absolute;width:521.00pt;height:12.89pt;mso-wrap-distance-left:0.00pt;mso-wrap-distance-top:0.00pt;mso-wrap-distance-right:0.00pt;mso-wrap-distance-bottom:0.00pt;" coordorigin="0,0" coordsize="66167,1636">
                <v:shape id="shape 6" o:spid="_x0000_s6" style="position:absolute;left:0;top:1636;width:66167;height:0;visibility:visible;" path="m0,0l100000,0e" coordsize="100000,100000" filled="f" strokecolor="#55585E" strokeweight="0.10pt">
                  <v:path textboxrect="0,0,0,0"/>
                  <v:stroke dashstyle="solid"/>
                </v:shape>
                <v:shape id="shape 7" o:spid="_x0000_s7" style="position:absolute;left:54948;top:0;width:11217;height:1566;visibility:visible;" path="m13583,0l0,100000l100000,100000l100000,0l13583,0e" coordsize="100000,100000" fillcolor="#9C9A9A">
                  <v:path textboxrect="0,0,0,0"/>
                </v:shape>
              </v:group>
            </w:pict>
          </mc:Fallback>
        </mc:AlternateContent>
      </w:r>
      <w:r/>
    </w:p>
    <w:p>
      <w:pPr>
        <w:rPr>
          <w:rFonts w:ascii="Arial" w:hAnsi="Arial" w:cs="Arial"/>
          <w:b/>
          <w:sz w:val="68"/>
          <w:szCs w:val="68"/>
        </w:rPr>
      </w:pPr>
      <w:r>
        <w:rPr>
          <w:rFonts w:ascii="Arial" w:hAnsi="Arial" w:cs="Arial"/>
          <w:b/>
          <w:sz w:val="68"/>
          <w:szCs w:val="68"/>
        </w:rPr>
      </w:r>
      <w:r>
        <w:rPr>
          <w:rFonts w:ascii="Arial" w:hAnsi="Arial" w:cs="Arial"/>
          <w:b/>
          <w:sz w:val="68"/>
          <w:szCs w:val="68"/>
        </w:rPr>
      </w:r>
    </w:p>
    <w:p>
      <w:pPr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  <w:lang w:val="en-US"/>
        </w:rPr>
        <w:t xml:space="preserve">AFGRBS</w:t>
      </w:r>
      <w:r>
        <w:rPr>
          <w:rFonts w:ascii="Arial" w:hAnsi="Arial" w:cs="Arial"/>
          <w:b/>
          <w:sz w:val="72"/>
          <w:szCs w:val="72"/>
        </w:rPr>
      </w:r>
    </w:p>
    <w:p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Стойка для наборных гантелей 24 кг и 40 кг</w:t>
      </w:r>
      <w:r>
        <w:rPr>
          <w:rFonts w:ascii="Arial" w:hAnsi="Arial" w:cs="Arial"/>
          <w:b/>
          <w:sz w:val="44"/>
          <w:szCs w:val="44"/>
        </w:rPr>
      </w:r>
    </w:p>
    <w:p>
      <w:pPr>
        <w:jc w:val="center"/>
      </w:pPr>
      <w:r/>
      <w:r/>
    </w:p>
    <w:p>
      <w:pPr>
        <w:jc w:val="center"/>
        <w:tabs>
          <w:tab w:val="left" w:pos="3955" w:leader="none"/>
        </w:tabs>
        <w:rPr>
          <w:rFonts w:ascii="Verdana"/>
          <w:b/>
          <w:color w:val="1e1916"/>
          <w:sz w:val="48"/>
          <w:szCs w:val="48"/>
        </w:rPr>
      </w:pPr>
      <w:r>
        <w:rPr>
          <w:rFonts w:ascii="Verdana"/>
          <w:b/>
          <w:color w:val="1e1916"/>
          <w:sz w:val="48"/>
          <w:szCs w:val="4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70769" cy="3167632"/>
                <wp:effectExtent l="0" t="7937" r="2857" b="2858"/>
                <wp:docPr id="7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AFGRBS Manual 1_page-0001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rot="16199999">
                          <a:off x="0" y="0"/>
                          <a:ext cx="4378989" cy="31735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344.16pt;height:249.42pt;mso-wrap-distance-left:0.00pt;mso-wrap-distance-top:0.00pt;mso-wrap-distance-right:0.00pt;mso-wrap-distance-bottom:0.00pt;rotation:269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  <w:t xml:space="preserve"> </w:t>
      </w:r>
      <w:r>
        <w:rPr>
          <w:rFonts w:ascii="Verdana"/>
          <w:b/>
          <w:color w:val="1e1916"/>
          <w:sz w:val="48"/>
          <w:szCs w:val="48"/>
        </w:rPr>
      </w:r>
    </w:p>
    <w:p>
      <w:pPr>
        <w:tabs>
          <w:tab w:val="left" w:pos="3955" w:leader="none"/>
        </w:tabs>
        <w:rPr>
          <w:rFonts w:ascii="Verdana"/>
          <w:b/>
          <w:color w:val="1e1916"/>
          <w:sz w:val="48"/>
          <w:szCs w:val="48"/>
        </w:rPr>
      </w:pPr>
      <w:r>
        <w:rPr>
          <w:rFonts w:ascii="Verdana"/>
          <w:b/>
          <w:color w:val="1e1916"/>
          <w:sz w:val="48"/>
          <w:szCs w:val="48"/>
        </w:rPr>
      </w:r>
      <w:r>
        <w:rPr>
          <w:rFonts w:ascii="Verdana"/>
          <w:b/>
          <w:color w:val="1e1916"/>
          <w:sz w:val="48"/>
          <w:szCs w:val="48"/>
        </w:rPr>
      </w:r>
    </w:p>
    <w:p>
      <w:pPr>
        <w:jc w:val="center"/>
        <w:tabs>
          <w:tab w:val="left" w:pos="3955" w:leader="none"/>
        </w:tabs>
        <w:rPr>
          <w:rFonts w:ascii="Arial" w:hAnsi="Arial" w:cs="Arial"/>
          <w:b/>
          <w:color w:val="ff0000"/>
          <w:sz w:val="44"/>
          <w:szCs w:val="44"/>
        </w:rPr>
      </w:pPr>
      <w:r>
        <w:rPr>
          <w:rFonts w:ascii="Arial" w:hAnsi="Arial" w:cs="Arial"/>
          <w:sz w:val="44"/>
          <w:szCs w:val="4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-214630</wp:posOffset>
                </wp:positionH>
                <wp:positionV relativeFrom="paragraph">
                  <wp:posOffset>306705</wp:posOffset>
                </wp:positionV>
                <wp:extent cx="329565" cy="1267460"/>
                <wp:effectExtent l="0" t="3810" r="0" b="0"/>
                <wp:wrapNone/>
                <wp:docPr id="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1267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9" o:spid="_x0000_s9" o:spt="202" type="#_x0000_t202" style="position:absolute;z-index:251660288;o:allowoverlap:true;o:allowincell:true;mso-position-horizontal-relative:text;margin-left:-16.90pt;mso-position-horizontal:absolute;mso-position-vertical-relative:text;margin-top:24.15pt;mso-position-vertical:absolute;width:25.95pt;height:99.80pt;mso-wrap-distance-left:9.00pt;mso-wrap-distance-top:0.00pt;mso-wrap-distance-right:9.00pt;mso-wrap-distance-bottom:0.00pt;v-text-anchor:top;visibility:visible;" fillcolor="#FFFFFF" stroked="f">
                <v:textbox inset="0,0,0,0">
                  <w:txbxContent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sz w:val="44"/>
          <w:szCs w:val="44"/>
        </w:rPr>
        <w:t xml:space="preserve">ПАСПОРТ И </w:t>
      </w:r>
      <w:r>
        <w:rPr>
          <w:rFonts w:ascii="Arial" w:hAnsi="Arial" w:cs="Arial"/>
          <w:b/>
          <w:sz w:val="44"/>
          <w:szCs w:val="44"/>
        </w:rPr>
        <w:t xml:space="preserve">РУКОВОДСТВО ПО ЭКСПЛУАТАЦИИ</w:t>
      </w:r>
      <w:r>
        <w:rPr>
          <w:rFonts w:ascii="Arial" w:hAnsi="Arial" w:cs="Arial"/>
          <w:b/>
          <w:color w:val="ff0000"/>
          <w:sz w:val="44"/>
          <w:szCs w:val="44"/>
        </w:rPr>
      </w:r>
    </w:p>
    <w:p>
      <w:pPr>
        <w:pStyle w:val="751"/>
        <w:rPr>
          <w:sz w:val="20"/>
          <w:lang w:val="ru-RU"/>
        </w:rPr>
      </w:pPr>
      <w:r>
        <w:rPr>
          <w:sz w:val="20"/>
          <w:lang w:val="ru-RU"/>
        </w:rPr>
      </w:r>
      <w:r>
        <w:rPr>
          <w:sz w:val="20"/>
          <w:lang w:val="ru-RU"/>
        </w:rPr>
      </w:r>
    </w:p>
    <w:p>
      <w:pPr>
        <w:pStyle w:val="751"/>
        <w:rPr>
          <w:sz w:val="20"/>
          <w:lang w:val="ru-RU"/>
        </w:rPr>
      </w:pPr>
      <w:r>
        <w:rPr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-213360</wp:posOffset>
                </wp:positionH>
                <wp:positionV relativeFrom="paragraph">
                  <wp:posOffset>175531</wp:posOffset>
                </wp:positionV>
                <wp:extent cx="620395" cy="620395"/>
                <wp:effectExtent l="0" t="0" r="0" b="0"/>
                <wp:wrapNone/>
                <wp:docPr id="9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Знак-EAC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20395" cy="620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position:absolute;z-index:251728896;o:allowoverlap:true;o:allowincell:true;mso-position-horizontal-relative:text;margin-left:-16.80pt;mso-position-horizontal:absolute;mso-position-vertical-relative:text;margin-top:13.82pt;mso-position-vertical:absolute;width:48.85pt;height:48.85pt;mso-wrap-distance-left:9.00pt;mso-wrap-distance-top:0.00pt;mso-wrap-distance-right:9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sz w:val="20"/>
          <w:lang w:val="ru-RU"/>
        </w:rPr>
      </w:r>
    </w:p>
    <w:p>
      <w:pPr>
        <w:pStyle w:val="751"/>
        <w:rPr>
          <w:sz w:val="20"/>
          <w:lang w:val="ru-RU"/>
        </w:rPr>
      </w:pPr>
      <w:r>
        <w:rPr>
          <w:sz w:val="20"/>
          <w:lang w:val="ru-RU"/>
        </w:rPr>
      </w:r>
      <w:r>
        <w:rPr>
          <w:sz w:val="20"/>
          <w:lang w:val="ru-RU"/>
        </w:rPr>
      </w:r>
    </w:p>
    <w:p>
      <w:pPr>
        <w:pStyle w:val="751"/>
        <w:rPr>
          <w:sz w:val="20"/>
          <w:lang w:val="ru-RU"/>
        </w:rPr>
      </w:pPr>
      <w:r>
        <w:rPr>
          <w:sz w:val="20"/>
          <w:lang w:val="ru-RU"/>
        </w:rPr>
      </w:r>
      <w:r>
        <w:rPr>
          <w:sz w:val="20"/>
          <w:lang w:val="ru-RU"/>
        </w:rPr>
      </w:r>
    </w:p>
    <w:p>
      <w:pPr>
        <w:pStyle w:val="751"/>
        <w:rPr>
          <w:sz w:val="20"/>
          <w:lang w:val="ru-RU"/>
        </w:rPr>
      </w:pPr>
      <w:r>
        <w:rPr>
          <w:sz w:val="20"/>
          <w:lang w:val="ru-RU"/>
        </w:rPr>
      </w:r>
      <w:r>
        <w:rPr>
          <w:sz w:val="20"/>
          <w:lang w:val="ru-RU"/>
        </w:rPr>
      </w:r>
    </w:p>
    <w:p>
      <w:pPr>
        <w:ind w:right="-1011"/>
        <w:rPr>
          <w:rFonts w:ascii="Arial" w:hAnsi="Arial" w:cs="Arial"/>
          <w:sz w:val="20"/>
          <w:szCs w:val="20"/>
        </w:rPr>
      </w:pPr>
      <w:r>
        <w:rPr>
          <w:rFonts w:ascii="Noto Sans Mono CJK JP Regular" w:hAnsi="Noto Sans Mono CJK JP Regular" w:eastAsia="Noto Sans Mono CJK JP Regular" w:cs="Noto Sans Mono CJK JP Regular"/>
          <w:sz w:val="20"/>
          <w:szCs w:val="32"/>
          <w:lang w:eastAsia="en-US"/>
        </w:rPr>
        <w:t xml:space="preserve">               </w:t>
      </w:r>
      <w:r>
        <w:rPr>
          <w:rFonts w:ascii="Arial" w:hAnsi="Arial" w:cs="Arial"/>
          <w:b/>
          <w:bCs/>
          <w:sz w:val="20"/>
          <w:szCs w:val="20"/>
        </w:rPr>
        <w:t xml:space="preserve">Внимание! </w:t>
      </w:r>
      <w:r>
        <w:rPr>
          <w:rFonts w:ascii="Arial" w:hAnsi="Arial" w:cs="Arial"/>
          <w:sz w:val="20"/>
          <w:szCs w:val="20"/>
        </w:rPr>
        <w:t xml:space="preserve">Перед началом использования ознакомьтесь с данным руководством.</w:t>
      </w:r>
      <w:r>
        <w:rPr>
          <w:rFonts w:ascii="Arial" w:hAnsi="Arial" w:cs="Arial"/>
          <w:sz w:val="20"/>
          <w:szCs w:val="20"/>
        </w:rPr>
      </w:r>
    </w:p>
    <w:p>
      <w:pPr>
        <w:ind w:right="140"/>
        <w:jc w:val="both"/>
        <w:rPr>
          <w:rFonts w:ascii="Arial" w:hAnsi="Arial" w:cs="Arial"/>
          <w:b/>
          <w:color w:val="1e1916"/>
          <w:sz w:val="20"/>
          <w:szCs w:val="20"/>
        </w:rPr>
      </w:pPr>
      <w:r>
        <w:rPr>
          <w:rFonts w:ascii="Arial" w:hAnsi="Arial" w:cs="Arial"/>
          <w:b/>
          <w:color w:val="1e1916"/>
          <w:sz w:val="20"/>
          <w:szCs w:val="20"/>
        </w:rPr>
        <w:t xml:space="preserve">ВНИМАНИЕ!</w:t>
      </w:r>
      <w:r>
        <w:rPr>
          <w:rFonts w:ascii="Arial" w:hAnsi="Arial" w:cs="Arial"/>
          <w:b/>
          <w:color w:val="1e1916"/>
          <w:sz w:val="20"/>
          <w:szCs w:val="20"/>
        </w:rPr>
      </w:r>
    </w:p>
    <w:p>
      <w:pPr>
        <w:ind w:right="140"/>
        <w:jc w:val="both"/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Любая часть информации, содержащаяся в данном руководстве пользователя, может быть изменена без предварительного уведомления. Актуальная информация отражена на официальном сайте поставщика оборудования ООО «</w:t>
      </w:r>
      <w:r>
        <w:rPr>
          <w:rFonts w:ascii="Arial" w:hAnsi="Arial" w:cs="Arial"/>
          <w:sz w:val="20"/>
          <w:szCs w:val="20"/>
        </w:rPr>
        <w:t xml:space="preserve">СПОРТРУС</w:t>
      </w:r>
      <w:r>
        <w:rPr>
          <w:rFonts w:ascii="Arial" w:hAnsi="Arial" w:cs="Arial"/>
          <w:sz w:val="20"/>
          <w:szCs w:val="20"/>
        </w:rPr>
        <w:t xml:space="preserve">»: </w:t>
      </w:r>
      <w:hyperlink r:id="rId15" w:tooltip="http://www.aerofit.ru/" w:history="1">
        <w:r>
          <w:rPr>
            <w:rFonts w:ascii="Arial" w:hAnsi="Arial" w:cs="Arial"/>
            <w:sz w:val="20"/>
            <w:szCs w:val="20"/>
          </w:rPr>
          <w:t xml:space="preserve">www.aerofit.ru</w:t>
        </w:r>
      </w:hyperlink>
      <w:r>
        <w:rPr>
          <w:rFonts w:ascii="Arial" w:hAnsi="Arial" w:cs="Arial"/>
          <w:sz w:val="20"/>
          <w:szCs w:val="20"/>
        </w:rPr>
        <w:t xml:space="preserve">. Производитель оставляет за собой право вносить изменения без предупреждения в конструкцию изделия, не ухудшающие его потребительских свойств.</w:t>
      </w:r>
      <w:r>
        <w:rPr>
          <w:rFonts w:ascii="Arial" w:hAnsi="Arial" w:cs="Arial"/>
          <w:sz w:val="20"/>
          <w:szCs w:val="20"/>
        </w:rPr>
      </w:r>
    </w:p>
    <w:p>
      <w:pPr>
        <w:ind w:left="-709" w:right="1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rPr>
          <w:rFonts w:ascii="Arial" w:hAnsi="Arial" w:cs="Arial"/>
          <w:b/>
          <w:color w:val="1e1916"/>
          <w:sz w:val="28"/>
          <w:szCs w:val="28"/>
        </w:rPr>
      </w:pPr>
      <w:r>
        <w:rPr>
          <w:rFonts w:ascii="Arial" w:hAnsi="Arial" w:cs="Arial"/>
          <w:b/>
          <w:color w:val="1e1916"/>
          <w:sz w:val="28"/>
          <w:szCs w:val="28"/>
        </w:rPr>
        <w:t xml:space="preserve">Содержание</w:t>
      </w:r>
      <w:r>
        <w:rPr>
          <w:rFonts w:ascii="Arial" w:hAnsi="Arial" w:cs="Arial"/>
          <w:b/>
          <w:color w:val="1e1916"/>
          <w:sz w:val="28"/>
          <w:szCs w:val="28"/>
        </w:rPr>
      </w:r>
    </w:p>
    <w:p>
      <w:pPr>
        <w:rPr>
          <w:rFonts w:ascii="Arial" w:hAnsi="Arial" w:cs="Arial"/>
          <w:b/>
          <w:color w:val="1e1916"/>
          <w:sz w:val="28"/>
          <w:szCs w:val="28"/>
        </w:rPr>
      </w:pPr>
      <w:r>
        <w:rPr>
          <w:rFonts w:ascii="Arial" w:hAnsi="Arial" w:cs="Arial"/>
          <w:b/>
          <w:color w:val="1e1916"/>
          <w:sz w:val="28"/>
          <w:szCs w:val="28"/>
        </w:rPr>
      </w:r>
      <w:r>
        <w:rPr>
          <w:rFonts w:ascii="Arial" w:hAnsi="Arial" w:cs="Arial"/>
          <w:b/>
          <w:color w:val="1e1916"/>
          <w:sz w:val="28"/>
          <w:szCs w:val="28"/>
        </w:rPr>
      </w:r>
    </w:p>
    <w:p>
      <w:pPr>
        <w:pStyle w:val="741"/>
        <w:ind w:right="-444"/>
        <w:spacing w:before="108"/>
        <w:tabs>
          <w:tab w:val="right" w:pos="8364" w:leader="hyphen"/>
        </w:tabs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</w:pP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  <w:t xml:space="preserve">Основные сведения</w:t>
      </w: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  <w:tab/>
      </w: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  <w:t xml:space="preserve">2</w:t>
      </w: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</w:r>
    </w:p>
    <w:p>
      <w:pPr>
        <w:pStyle w:val="741"/>
        <w:ind w:right="-444"/>
        <w:spacing w:before="290"/>
        <w:tabs>
          <w:tab w:val="right" w:pos="8364" w:leader="hyphen"/>
        </w:tabs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</w:pP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  <w:t xml:space="preserve">Использование по назначению</w:t>
      </w: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  <w:tab/>
      </w: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  <w:t xml:space="preserve">3</w:t>
      </w: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</w:r>
    </w:p>
    <w:p>
      <w:pPr>
        <w:pStyle w:val="741"/>
        <w:ind w:right="-444"/>
        <w:spacing w:before="290"/>
        <w:tabs>
          <w:tab w:val="right" w:pos="8364" w:leader="hyphen"/>
        </w:tabs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</w:pP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  <w:t xml:space="preserve">Инструкция по сборке и схема сборки</w:t>
      </w: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  <w:tab/>
        <w:t xml:space="preserve">4</w:t>
      </w: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</w:r>
    </w:p>
    <w:p>
      <w:pPr>
        <w:pStyle w:val="741"/>
        <w:ind w:right="-444"/>
        <w:spacing w:before="289"/>
        <w:tabs>
          <w:tab w:val="right" w:pos="8364" w:leader="hyphen"/>
        </w:tabs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</w:pP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  <w:t xml:space="preserve">Техническое обслуживание и осмотр</w:t>
      </w: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  <w:tab/>
        <w:t xml:space="preserve">5</w:t>
      </w: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</w:r>
    </w:p>
    <w:p>
      <w:pPr>
        <w:pStyle w:val="741"/>
        <w:ind w:right="-444"/>
        <w:spacing w:before="290"/>
        <w:tabs>
          <w:tab w:val="right" w:pos="8364" w:leader="hyphen"/>
        </w:tabs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</w:pP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  <w:t xml:space="preserve">Хранение и транспортировка</w:t>
      </w: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  <w:tab/>
        <w:t xml:space="preserve">5</w:t>
      </w:r>
      <w:r>
        <w:rPr>
          <w:rFonts w:ascii="Arial" w:hAnsi="Arial" w:eastAsia="Noto Sans Mono CJK JP Regular" w:cs="Arial"/>
          <w:color w:val="auto"/>
          <w:sz w:val="20"/>
          <w:szCs w:val="20"/>
          <w:lang w:eastAsia="en-US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</w:r>
      <w:r>
        <w:rPr>
          <w:rFonts w:ascii="Arial" w:hAnsi="Arial" w:cs="Arial"/>
          <w:color w:val="444444"/>
        </w:rPr>
      </w:r>
    </w:p>
    <w:p>
      <w:r/>
      <w:r/>
    </w:p>
    <w:p>
      <w:pPr>
        <w:pStyle w:val="751"/>
        <w:ind w:right="282"/>
        <w:jc w:val="both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 xml:space="preserve">ПОКУПАТЕЛЬ (ВЛАДЕЛЕЦ) НЕСЕТ ОТВЕТСТВЕННОСТЬ ЗА:</w:t>
      </w:r>
      <w:r>
        <w:rPr>
          <w:rFonts w:ascii="Arial" w:hAnsi="Arial" w:cs="Arial"/>
          <w:b/>
          <w:sz w:val="24"/>
          <w:szCs w:val="24"/>
          <w:lang w:val="ru-RU"/>
        </w:rPr>
      </w:r>
    </w:p>
    <w:p>
      <w:pPr>
        <w:pStyle w:val="751"/>
        <w:ind w:right="282"/>
        <w:jc w:val="both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</w:r>
      <w:r>
        <w:rPr>
          <w:rFonts w:ascii="Arial" w:hAnsi="Arial" w:cs="Arial"/>
          <w:b/>
          <w:sz w:val="24"/>
          <w:szCs w:val="24"/>
          <w:lang w:val="ru-RU"/>
        </w:rPr>
      </w:r>
    </w:p>
    <w:p>
      <w:pPr>
        <w:pStyle w:val="751"/>
        <w:numPr>
          <w:ilvl w:val="0"/>
          <w:numId w:val="3"/>
        </w:numPr>
        <w:ind w:left="142" w:right="282" w:hanging="142"/>
        <w:jc w:val="both"/>
        <w:spacing w:line="276" w:lineRule="auto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 xml:space="preserve">соблюдение правил прилагаемого руководства пользователя</w:t>
      </w:r>
      <w:r>
        <w:rPr>
          <w:rFonts w:ascii="Arial" w:hAnsi="Arial" w:cs="Arial"/>
          <w:sz w:val="20"/>
          <w:szCs w:val="20"/>
          <w:lang w:val="ru-RU"/>
        </w:rPr>
      </w:r>
    </w:p>
    <w:p>
      <w:pPr>
        <w:pStyle w:val="751"/>
        <w:numPr>
          <w:ilvl w:val="0"/>
          <w:numId w:val="3"/>
        </w:numPr>
        <w:ind w:left="142" w:right="282" w:hanging="142"/>
        <w:jc w:val="both"/>
        <w:spacing w:line="276" w:lineRule="auto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 xml:space="preserve">информирование и инструктаж лиц, являющихся конечными пользователями и лиц, относящихся к обслуживающему персоналу, о содержании данного руководства в части надлежащего использования, эксплуатации и обслуживания.</w:t>
      </w:r>
      <w:r>
        <w:rPr>
          <w:rFonts w:ascii="Arial" w:hAnsi="Arial" w:cs="Arial"/>
          <w:sz w:val="20"/>
          <w:szCs w:val="20"/>
          <w:lang w:val="ru-RU"/>
        </w:rPr>
      </w:r>
    </w:p>
    <w:p>
      <w:pPr>
        <w:pStyle w:val="751"/>
        <w:ind w:right="282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</w:r>
      <w:r>
        <w:rPr>
          <w:rFonts w:asciiTheme="minorHAnsi" w:hAnsiTheme="minorHAnsi"/>
          <w:sz w:val="24"/>
          <w:szCs w:val="24"/>
          <w:lang w:val="ru-RU"/>
        </w:rPr>
      </w:r>
    </w:p>
    <w:p>
      <w:pPr>
        <w:pStyle w:val="751"/>
        <w:ind w:right="282"/>
        <w:jc w:val="both"/>
        <w:rPr>
          <w:rFonts w:ascii="Arial" w:hAnsi="Arial" w:cs="Arial" w:eastAsiaTheme="minorEastAsia"/>
          <w:b/>
          <w:color w:val="1e1916"/>
          <w:sz w:val="28"/>
          <w:szCs w:val="28"/>
          <w:lang w:val="ru-RU" w:eastAsia="ru-RU"/>
        </w:rPr>
      </w:pPr>
      <w:r>
        <w:rPr>
          <w:rFonts w:ascii="Arial" w:hAnsi="Arial" w:cs="Arial" w:eastAsiaTheme="minorEastAsia"/>
          <w:b/>
          <w:color w:val="1e1916"/>
          <w:sz w:val="28"/>
          <w:szCs w:val="28"/>
          <w:lang w:val="ru-RU" w:eastAsia="ru-RU"/>
        </w:rPr>
        <w:t xml:space="preserve">Основные сведения</w:t>
      </w:r>
      <w:r>
        <w:rPr>
          <w:rFonts w:ascii="Arial" w:hAnsi="Arial" w:cs="Arial" w:eastAsiaTheme="minorEastAsia"/>
          <w:b/>
          <w:color w:val="1e1916"/>
          <w:sz w:val="28"/>
          <w:szCs w:val="28"/>
          <w:lang w:val="ru-RU" w:eastAsia="ru-RU"/>
        </w:rPr>
      </w:r>
    </w:p>
    <w:p>
      <w:pPr>
        <w:pStyle w:val="751"/>
        <w:ind w:right="282"/>
        <w:jc w:val="both"/>
        <w:rPr>
          <w:rFonts w:ascii="Arial" w:hAnsi="Arial" w:cs="Arial" w:eastAsiaTheme="minorEastAsia"/>
          <w:b/>
          <w:color w:val="1e1916"/>
          <w:sz w:val="28"/>
          <w:szCs w:val="28"/>
          <w:lang w:val="ru-RU" w:eastAsia="ru-RU"/>
        </w:rPr>
      </w:pPr>
      <w:r>
        <w:rPr>
          <w:rFonts w:ascii="Arial" w:hAnsi="Arial" w:cs="Arial" w:eastAsiaTheme="minorEastAsia"/>
          <w:b/>
          <w:color w:val="1e1916"/>
          <w:sz w:val="28"/>
          <w:szCs w:val="28"/>
          <w:lang w:val="ru-RU" w:eastAsia="ru-RU"/>
        </w:rPr>
      </w:r>
      <w:r>
        <w:rPr>
          <w:rFonts w:ascii="Arial" w:hAnsi="Arial" w:cs="Arial" w:eastAsiaTheme="minorEastAsia"/>
          <w:b/>
          <w:color w:val="1e1916"/>
          <w:sz w:val="28"/>
          <w:szCs w:val="28"/>
          <w:lang w:val="ru-RU" w:eastAsia="ru-RU"/>
        </w:rPr>
      </w:r>
    </w:p>
    <w:p>
      <w:pPr>
        <w:pStyle w:val="756"/>
        <w:spacing w:before="0" w:beforeAutospacing="0" w:after="0" w:afterAutospacing="0" w:line="276" w:lineRule="auto"/>
        <w:shd w:val="clear" w:color="auto" w:fill="ffffff"/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Н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азначение изделия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: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С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тойка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для наборных гантелей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,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артикул А</w:t>
      </w:r>
      <w:r>
        <w:rPr>
          <w:rFonts w:ascii="Arial" w:hAnsi="Arial" w:eastAsia="Tahoma" w:cs="Arial"/>
          <w:color w:val="1e1916"/>
          <w:sz w:val="20"/>
          <w:szCs w:val="20"/>
          <w:lang w:val="en-US"/>
        </w:rPr>
        <w:t xml:space="preserve">FGRBS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предназначен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а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для хранения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гантелей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. </w:t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pStyle w:val="756"/>
        <w:ind w:firstLine="480"/>
        <w:jc w:val="both"/>
        <w:spacing w:before="0" w:beforeAutospacing="0" w:after="0" w:afterAutospacing="0" w:line="276" w:lineRule="auto"/>
        <w:shd w:val="clear" w:color="auto" w:fill="ffffff"/>
        <w:rPr>
          <w:rFonts w:eastAsia="Tahoma" w:cs="Tahoma" w:asciiTheme="minorHAnsi" w:hAnsiTheme="minorHAnsi"/>
          <w:color w:val="1e1916"/>
          <w:szCs w:val="22"/>
        </w:rPr>
      </w:pPr>
      <w:r>
        <w:rPr>
          <w:rFonts w:eastAsia="Tahoma" w:cs="Tahoma" w:asciiTheme="minorHAnsi" w:hAnsiTheme="minorHAnsi"/>
          <w:color w:val="1e1916"/>
          <w:szCs w:val="22"/>
        </w:rPr>
      </w:r>
      <w:r>
        <w:rPr>
          <w:rFonts w:eastAsia="Tahoma" w:cs="Tahoma" w:asciiTheme="minorHAnsi" w:hAnsiTheme="minorHAnsi"/>
          <w:color w:val="1e1916"/>
          <w:szCs w:val="22"/>
        </w:rPr>
      </w:r>
    </w:p>
    <w:p>
      <w:pPr>
        <w:pStyle w:val="756"/>
        <w:jc w:val="both"/>
        <w:spacing w:before="0" w:beforeAutospacing="0" w:after="0" w:afterAutospacing="0" w:line="276" w:lineRule="auto"/>
        <w:shd w:val="clear" w:color="auto" w:fill="ffffff"/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Область применения: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По применению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стойка относится к классу S, т.е. предназначен для использования внутри помещений в тренировочны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х зонах организаций, таких как спортивные объединения, учебные заведения, гостиницы, клубы и студии, где доступ к тренажерам и контроль за ними осуществляет их собственник или иное лицо, несущее соответствующую юридическую ответственность (далее владелец).</w:t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pStyle w:val="756"/>
        <w:spacing w:before="0" w:beforeAutospacing="0" w:after="0" w:afterAutospacing="0" w:line="276" w:lineRule="auto"/>
        <w:shd w:val="clear" w:color="auto" w:fill="ffffff"/>
        <w:rPr>
          <w:rFonts w:eastAsia="Tahoma" w:cs="Tahoma" w:asciiTheme="minorHAnsi" w:hAnsiTheme="minorHAnsi"/>
          <w:color w:val="1e1916"/>
          <w:szCs w:val="22"/>
        </w:rPr>
      </w:pPr>
      <w:r>
        <w:rPr>
          <w:rFonts w:eastAsia="Tahoma" w:cs="Tahoma" w:asciiTheme="minorHAnsi" w:hAnsiTheme="minorHAnsi"/>
          <w:color w:val="1e1916"/>
          <w:szCs w:val="22"/>
        </w:rPr>
      </w:r>
      <w:r>
        <w:rPr>
          <w:rFonts w:eastAsia="Tahoma" w:cs="Tahoma" w:asciiTheme="minorHAnsi" w:hAnsiTheme="minorHAnsi"/>
          <w:color w:val="1e1916"/>
          <w:szCs w:val="22"/>
        </w:rPr>
      </w:r>
    </w:p>
    <w:p>
      <w:pPr>
        <w:pStyle w:val="756"/>
        <w:jc w:val="both"/>
        <w:spacing w:before="0" w:beforeAutospacing="0" w:after="0" w:afterAutospacing="0" w:line="276" w:lineRule="auto"/>
        <w:shd w:val="clear" w:color="auto" w:fill="ffffff"/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Условия 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эксплуатации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: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В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лажность воздуха в помещении должна быть в пределах от 55 % до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7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5 %, а температура воздуха от 20 до 25С выше 0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.</w:t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</w:r>
      <w:r>
        <w:rPr>
          <w:rFonts w:ascii="Arial" w:hAnsi="Arial" w:cs="Arial"/>
          <w:color w:val="444444"/>
          <w:shd w:val="clear" w:color="auto" w:fill="ffffff"/>
        </w:rPr>
      </w:r>
    </w:p>
    <w:p>
      <w:pPr>
        <w:pStyle w:val="756"/>
        <w:jc w:val="both"/>
        <w:spacing w:before="0" w:beforeAutospacing="0" w:after="0" w:afterAutospacing="0"/>
        <w:shd w:val="clear" w:color="auto" w:fill="ffffff"/>
        <w:rPr>
          <w:rFonts w:eastAsia="Tahoma" w:cs="Tahoma" w:asciiTheme="minorHAnsi" w:hAnsiTheme="minorHAnsi"/>
          <w:b/>
          <w:color w:val="1e1916"/>
          <w:szCs w:val="22"/>
        </w:rPr>
      </w:pPr>
      <w:r>
        <w:rPr>
          <w:rFonts w:eastAsia="Tahoma" w:cs="Tahoma" w:asciiTheme="minorHAnsi" w:hAnsiTheme="minorHAnsi"/>
          <w:b/>
          <w:color w:val="1e1916"/>
          <w:szCs w:val="22"/>
        </w:rPr>
        <w:t xml:space="preserve">Т</w:t>
      </w:r>
      <w:r>
        <w:rPr>
          <w:rFonts w:eastAsia="Tahoma" w:cs="Tahoma" w:asciiTheme="minorHAnsi" w:hAnsiTheme="minorHAnsi"/>
          <w:b/>
          <w:color w:val="1e1916"/>
          <w:szCs w:val="22"/>
        </w:rPr>
        <w:t xml:space="preserve">ехнические характеристики</w:t>
      </w:r>
      <w:r>
        <w:rPr>
          <w:rFonts w:eastAsia="Tahoma" w:cs="Tahoma" w:asciiTheme="minorHAnsi" w:hAnsiTheme="minorHAnsi"/>
          <w:b/>
          <w:color w:val="1e1916"/>
          <w:szCs w:val="22"/>
        </w:rPr>
        <w:t xml:space="preserve">:</w:t>
      </w:r>
      <w:r>
        <w:rPr>
          <w:rFonts w:eastAsia="Tahoma" w:cs="Tahoma" w:asciiTheme="minorHAnsi" w:hAnsiTheme="minorHAnsi"/>
          <w:b/>
          <w:color w:val="1e1916"/>
          <w:szCs w:val="22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</w:r>
      <w:r>
        <w:rPr>
          <w:rFonts w:ascii="Arial" w:hAnsi="Arial" w:cs="Arial"/>
          <w:color w:val="444444"/>
          <w:shd w:val="clear" w:color="auto" w:fill="ffffff"/>
        </w:rPr>
      </w:r>
    </w:p>
    <w:tbl>
      <w:tblPr>
        <w:tblStyle w:val="755"/>
        <w:tblpPr w:horzAnchor="page" w:tblpX="1298" w:vertAnchor="text" w:tblpY="56" w:leftFromText="180" w:topFromText="0" w:rightFromText="180" w:bottomFromText="0"/>
        <w:tblW w:w="0" w:type="auto"/>
        <w:tblLook w:val="04A0" w:firstRow="1" w:lastRow="0" w:firstColumn="1" w:lastColumn="0" w:noHBand="0" w:noVBand="1"/>
      </w:tblPr>
      <w:tblGrid>
        <w:gridCol w:w="3621"/>
        <w:gridCol w:w="4029"/>
      </w:tblGrid>
      <w:tr>
        <w:tblPrEx/>
        <w:trPr/>
        <w:tc>
          <w:tcPr>
            <w:tcW w:w="3621" w:type="dxa"/>
            <w:textDirection w:val="lrTb"/>
            <w:noWrap w:val="false"/>
          </w:tcPr>
          <w:p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Вес, кг</w: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</w:p>
        </w:tc>
        <w:tc>
          <w:tcPr>
            <w:tcW w:w="40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blPrEx/>
        <w:trPr/>
        <w:tc>
          <w:tcPr>
            <w:tcW w:w="3621" w:type="dxa"/>
            <w:textDirection w:val="lrTb"/>
            <w:noWrap w:val="false"/>
          </w:tcPr>
          <w:p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Цвет</w: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</w:p>
        </w:tc>
        <w:tc>
          <w:tcPr>
            <w:tcW w:w="402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Черный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</w:tbl>
    <w:p>
      <w:pPr>
        <w:pStyle w:val="756"/>
        <w:ind w:firstLine="480"/>
        <w:spacing w:before="0" w:beforeAutospacing="0" w:after="0" w:afterAutospacing="0"/>
        <w:shd w:val="clear" w:color="auto" w:fill="ffffff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</w:r>
      <w:r>
        <w:rPr>
          <w:rFonts w:ascii="Arial" w:hAnsi="Arial" w:cs="Arial"/>
          <w:color w:val="444444"/>
          <w:shd w:val="clear" w:color="auto" w:fill="ffffff"/>
        </w:rPr>
      </w:r>
    </w:p>
    <w:p>
      <w:pPr>
        <w:pStyle w:val="756"/>
        <w:ind w:firstLine="480"/>
        <w:spacing w:before="0" w:beforeAutospacing="0" w:after="0" w:afterAutospacing="0"/>
        <w:shd w:val="clear" w:color="auto" w:fill="ffffff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</w:r>
      <w:r>
        <w:rPr>
          <w:rFonts w:ascii="Arial" w:hAnsi="Arial" w:cs="Arial"/>
          <w:color w:val="444444"/>
          <w:shd w:val="clear" w:color="auto" w:fill="ffffff"/>
        </w:rPr>
      </w:r>
    </w:p>
    <w:p>
      <w:pPr>
        <w:pStyle w:val="756"/>
        <w:ind w:firstLine="480"/>
        <w:spacing w:before="0" w:beforeAutospacing="0" w:after="0" w:afterAutospacing="0"/>
        <w:shd w:val="clear" w:color="auto" w:fill="ffffff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</w:r>
      <w:r>
        <w:rPr>
          <w:rFonts w:ascii="Arial" w:hAnsi="Arial" w:cs="Arial"/>
          <w:color w:val="444444"/>
          <w:shd w:val="clear" w:color="auto" w:fill="ffffff"/>
        </w:rPr>
      </w:r>
    </w:p>
    <w:p>
      <w:pPr>
        <w:pStyle w:val="756"/>
        <w:ind w:firstLine="480"/>
        <w:spacing w:before="0" w:beforeAutospacing="0" w:after="0" w:afterAutospacing="0"/>
        <w:shd w:val="clear" w:color="auto" w:fill="ffffff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</w:r>
      <w:r>
        <w:rPr>
          <w:rFonts w:ascii="Arial" w:hAnsi="Arial" w:cs="Arial"/>
          <w:color w:val="444444"/>
          <w:shd w:val="clear" w:color="auto" w:fill="ffffff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</w:r>
      <w:r>
        <w:rPr>
          <w:rFonts w:ascii="Arial" w:hAnsi="Arial" w:cs="Arial"/>
          <w:color w:val="444444"/>
          <w:shd w:val="clear" w:color="auto" w:fill="ffffff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</w:r>
      <w:r>
        <w:rPr>
          <w:rFonts w:ascii="Arial" w:hAnsi="Arial" w:cs="Arial"/>
          <w:color w:val="444444"/>
          <w:shd w:val="clear" w:color="auto" w:fill="ffffff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eastAsia="Tahoma" w:cs="Tahoma" w:asciiTheme="minorHAnsi" w:hAnsiTheme="minorHAnsi"/>
          <w:b/>
          <w:color w:val="1e1916"/>
          <w:szCs w:val="22"/>
        </w:rPr>
      </w:pPr>
      <w:r>
        <w:rPr>
          <w:rFonts w:eastAsia="Tahoma" w:cs="Tahoma" w:asciiTheme="minorHAnsi" w:hAnsiTheme="minorHAnsi"/>
          <w:b/>
          <w:color w:val="1e1916"/>
          <w:szCs w:val="22"/>
        </w:rPr>
      </w:r>
      <w:r>
        <w:rPr>
          <w:rFonts w:eastAsia="Tahoma" w:cs="Tahoma" w:asciiTheme="minorHAnsi" w:hAnsiTheme="minorHAnsi"/>
          <w:b/>
          <w:color w:val="1e1916"/>
          <w:szCs w:val="22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К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омплект 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поставки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:</w:t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В комплект поставки входит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: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56"/>
        <w:numPr>
          <w:ilvl w:val="0"/>
          <w:numId w:val="5"/>
        </w:numPr>
        <w:spacing w:before="0" w:beforeAutospacing="0" w:after="0" w:afterAutospacing="0"/>
        <w:shd w:val="clear" w:color="auto" w:fill="ffff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С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тойка в частично разобранном виде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56"/>
        <w:numPr>
          <w:ilvl w:val="0"/>
          <w:numId w:val="5"/>
        </w:numPr>
        <w:spacing w:before="0" w:beforeAutospacing="0" w:after="0" w:afterAutospacing="0"/>
        <w:shd w:val="clear" w:color="auto" w:fill="ffff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Паспорт и руководство по эксплуатации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56"/>
        <w:numPr>
          <w:ilvl w:val="0"/>
          <w:numId w:val="5"/>
        </w:numPr>
        <w:spacing w:before="0" w:beforeAutospacing="0" w:after="0" w:afterAutospacing="0"/>
        <w:shd w:val="clear" w:color="auto" w:fill="ffff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Крепежный комплект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56"/>
        <w:ind w:firstLine="480"/>
        <w:spacing w:before="0" w:beforeAutospacing="0" w:after="0" w:afterAutospacing="0"/>
        <w:shd w:val="clear" w:color="auto" w:fill="ffffff"/>
        <w:rPr>
          <w:rFonts w:ascii="Arial" w:hAnsi="Arial" w:cs="Arial"/>
          <w:color w:val="444444"/>
          <w:highlight w:val="yellow"/>
        </w:rPr>
      </w:pPr>
      <w:r>
        <w:rPr>
          <w:rFonts w:ascii="Arial" w:hAnsi="Arial" w:cs="Arial"/>
          <w:color w:val="444444"/>
          <w:highlight w:val="yellow"/>
        </w:rPr>
      </w:r>
      <w:r>
        <w:rPr>
          <w:rFonts w:ascii="Arial" w:hAnsi="Arial" w:cs="Arial"/>
          <w:color w:val="444444"/>
          <w:highlight w:val="yellow"/>
        </w:rPr>
      </w:r>
    </w:p>
    <w:p>
      <w:r/>
      <w:r/>
    </w:p>
    <w:p>
      <w:pPr>
        <w:rPr>
          <w:rFonts w:ascii="Arial" w:hAnsi="Arial" w:cs="Arial"/>
          <w:b/>
          <w:color w:val="1e1916"/>
          <w:sz w:val="28"/>
          <w:szCs w:val="28"/>
        </w:rPr>
      </w:pPr>
      <w:r>
        <w:rPr>
          <w:rFonts w:ascii="Arial" w:hAnsi="Arial" w:cs="Arial"/>
          <w:b/>
          <w:color w:val="1e1916"/>
          <w:sz w:val="28"/>
          <w:szCs w:val="28"/>
        </w:rPr>
        <w:t xml:space="preserve">Использование по назначению</w:t>
      </w:r>
      <w:r>
        <w:rPr>
          <w:rFonts w:ascii="Arial" w:hAnsi="Arial" w:cs="Arial"/>
          <w:b/>
          <w:color w:val="1e1916"/>
          <w:sz w:val="28"/>
          <w:szCs w:val="28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Безопасная эксплуатация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:</w:t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pStyle w:val="742"/>
        <w:ind w:right="282"/>
        <w:jc w:val="both"/>
        <w:spacing w:before="65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cs="Arial"/>
          <w:color w:val="444444"/>
        </w:rPr>
        <w:br/>
      </w:r>
      <w:r>
        <w:rPr>
          <w:rFonts w:ascii="Arial" w:hAnsi="Arial" w:eastAsia="Tahoma" w:cs="Arial"/>
          <w:color w:val="1e1916"/>
          <w:sz w:val="20"/>
          <w:szCs w:val="20"/>
        </w:rPr>
        <w:t xml:space="preserve">Перед началом тренировки, необходимо пройти физическое обсл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едование у   врача. Помните, что неправильные или чрезмерные тренировки могут закончиться травмами или нанести вред здоровью. Во избежание травм или любого увечья, внимательно прочитайте инструкцию по технике безопасности, прежде чем приступить к занятиям.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42"/>
        <w:ind w:left="-426" w:right="282"/>
        <w:jc w:val="both"/>
        <w:spacing w:before="65"/>
        <w:rPr>
          <w:rFonts w:ascii="Calibri" w:hAnsi="Calibri" w:eastAsia="Tahoma" w:cs="Tahoma"/>
          <w:color w:val="1e1916"/>
          <w:sz w:val="24"/>
        </w:rPr>
      </w:pPr>
      <w:r>
        <w:rPr>
          <w:rFonts w:ascii="Calibri" w:hAnsi="Calibri" w:eastAsia="Tahoma" w:cs="Tahoma"/>
          <w:color w:val="1e1916"/>
          <w:sz w:val="24"/>
        </w:rPr>
        <w:t xml:space="preserve"> </w:t>
      </w:r>
      <w:r>
        <w:rPr>
          <w:rFonts w:ascii="Calibri" w:hAnsi="Calibri" w:eastAsia="Tahoma" w:cs="Tahoma"/>
          <w:color w:val="1e1916"/>
          <w:sz w:val="24"/>
        </w:rPr>
      </w:r>
    </w:p>
    <w:p>
      <w:pPr>
        <w:pStyle w:val="742"/>
        <w:numPr>
          <w:ilvl w:val="0"/>
          <w:numId w:val="4"/>
        </w:numPr>
        <w:ind w:left="142" w:right="282" w:hanging="284"/>
        <w:jc w:val="both"/>
        <w:keepLines w:val="0"/>
        <w:keepNext w:val="0"/>
        <w:spacing w:before="65" w:line="240" w:lineRule="auto"/>
        <w:widowControl w:val="o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Ознакомьтесь внимательно с пунктами, описанными в инструкции и соблюдайте их в процессе эксплуатации. 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42"/>
        <w:numPr>
          <w:ilvl w:val="0"/>
          <w:numId w:val="4"/>
        </w:numPr>
        <w:ind w:left="142" w:right="282" w:hanging="284"/>
        <w:jc w:val="both"/>
        <w:keepLines w:val="0"/>
        <w:keepNext w:val="0"/>
        <w:spacing w:before="65" w:line="240" w:lineRule="auto"/>
        <w:widowControl w:val="o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Используйте стойку только по ее прямому назначению, описанному в инструкции. Не используйте приспособления, не рекомендованные производителем. 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42"/>
        <w:numPr>
          <w:ilvl w:val="0"/>
          <w:numId w:val="4"/>
        </w:numPr>
        <w:ind w:left="142" w:right="282" w:hanging="284"/>
        <w:jc w:val="both"/>
        <w:keepLines w:val="0"/>
        <w:keepNext w:val="0"/>
        <w:spacing w:before="65" w:line="240" w:lineRule="auto"/>
        <w:widowControl w:val="o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Стойку следует устанавливать на ровной устойчивой поверхности, оставляя вокруг не менее 60-ти см свободного пространства, для обеспечения полного до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ступа. Стойка предназначена для хранения спортивного инвентаря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 в закрытых помещениях, не используйте на открытом воздухе. 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42"/>
        <w:numPr>
          <w:ilvl w:val="0"/>
          <w:numId w:val="4"/>
        </w:numPr>
        <w:ind w:left="142" w:right="282" w:hanging="284"/>
        <w:jc w:val="both"/>
        <w:keepLines w:val="0"/>
        <w:keepNext w:val="0"/>
        <w:spacing w:before="65" w:line="240" w:lineRule="auto"/>
        <w:widowControl w:val="o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Для защиты пола или ковра подстилается специальный коврик. Стойка хранится в сухом и чистом помещении.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42"/>
        <w:numPr>
          <w:ilvl w:val="0"/>
          <w:numId w:val="4"/>
        </w:numPr>
        <w:ind w:left="142" w:right="282" w:hanging="284"/>
        <w:jc w:val="both"/>
        <w:keepLines w:val="0"/>
        <w:keepNext w:val="0"/>
        <w:spacing w:before="65" w:line="240" w:lineRule="auto"/>
        <w:widowControl w:val="o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Не подпускайте детей, а также лиц с ограниченными способностями, к стойке с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инвентарем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. Подростки должны тренироваться под присмотром тренера.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42"/>
        <w:numPr>
          <w:ilvl w:val="0"/>
          <w:numId w:val="4"/>
        </w:numPr>
        <w:ind w:left="142" w:right="282" w:hanging="284"/>
        <w:jc w:val="both"/>
        <w:keepLines w:val="0"/>
        <w:keepNext w:val="0"/>
        <w:spacing w:before="65" w:line="240" w:lineRule="auto"/>
        <w:widowControl w:val="o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Помните, что неправильные или чрезмерные тренировки могут закончиться травмами или нанести вред здоровью. Если во время тренировки Вы почувствовали неприятные ощущения или боль, прекратите тренировку и обратитесь к врачу. 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42"/>
        <w:numPr>
          <w:ilvl w:val="0"/>
          <w:numId w:val="4"/>
        </w:numPr>
        <w:ind w:left="142" w:right="282" w:hanging="284"/>
        <w:jc w:val="both"/>
        <w:keepLines w:val="0"/>
        <w:keepNext w:val="0"/>
        <w:spacing w:before="65" w:line="240" w:lineRule="auto"/>
        <w:widowControl w:val="o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Никогда не используйте неправильно собранное или поврежденное оборудование. Не засоряйте и не вставляйте посторонние предметы в отверстия. 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42"/>
        <w:numPr>
          <w:ilvl w:val="0"/>
          <w:numId w:val="4"/>
        </w:numPr>
        <w:ind w:left="142" w:right="282" w:hanging="284"/>
        <w:jc w:val="both"/>
        <w:keepLines w:val="0"/>
        <w:keepNext w:val="0"/>
        <w:spacing w:before="65" w:line="240" w:lineRule="auto"/>
        <w:widowControl w:val="o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Регулярно проверяйте и подтягивайте все крепежные детали. Убедитесь, что все крепежи безопасны и находятся в пригодном состоянии. 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42"/>
        <w:numPr>
          <w:ilvl w:val="0"/>
          <w:numId w:val="4"/>
        </w:numPr>
        <w:ind w:left="142" w:right="282" w:hanging="284"/>
        <w:jc w:val="both"/>
        <w:keepLines w:val="0"/>
        <w:keepNext w:val="0"/>
        <w:spacing w:before="65" w:line="240" w:lineRule="auto"/>
        <w:widowControl w:val="o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Не пытайтесь поднять вес больше ваших физических возможностей.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42"/>
        <w:numPr>
          <w:ilvl w:val="0"/>
          <w:numId w:val="4"/>
        </w:numPr>
        <w:ind w:left="142" w:right="282"/>
        <w:jc w:val="both"/>
        <w:keepLines w:val="0"/>
        <w:keepNext w:val="0"/>
        <w:spacing w:before="65" w:line="240" w:lineRule="auto"/>
        <w:widowControl w:val="o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Не нагружайте стойку выше разрешенного предела (см.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п.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Технические характеристики).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42"/>
        <w:numPr>
          <w:ilvl w:val="0"/>
          <w:numId w:val="4"/>
        </w:numPr>
        <w:ind w:left="142" w:right="282"/>
        <w:jc w:val="both"/>
        <w:keepLines w:val="0"/>
        <w:keepNext w:val="0"/>
        <w:spacing w:before="65" w:line="240" w:lineRule="auto"/>
        <w:widowControl w:val="o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Ответственность за правильное инструктирование всех пользователей стойки несет её владелец.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ind w:right="282"/>
        <w:jc w:val="both"/>
      </w:pPr>
      <w:r/>
      <w:r/>
    </w:p>
    <w:p>
      <w:pPr>
        <w:ind w:right="282"/>
        <w:jc w:val="both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Прим.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Для тренировки надевайте соответствующую спортивную одежду и обувь. Не одевайте слишком широкую или длинную одежду. Длинные волосы необходимо собрать в пучок.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ind w:right="282"/>
        <w:jc w:val="both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ind w:right="282"/>
        <w:jc w:val="both"/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Подготовка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 к использованию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:</w:t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ind w:right="282"/>
        <w:jc w:val="both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Перед вводом в эксплуатацию, далее ежедневно проводить визуальный осмотр состояния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стеллажа – стойки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проверка целостности конструкции, наличия всех элементов. 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ind w:right="282"/>
        <w:jc w:val="both"/>
        <w:rPr>
          <w:rFonts w:eastAsia="Tahoma" w:cs="Tahoma"/>
          <w:color w:val="1e1916"/>
          <w:sz w:val="24"/>
        </w:rPr>
      </w:pPr>
      <w:r>
        <w:rPr>
          <w:rFonts w:eastAsia="Tahoma" w:cs="Tahoma"/>
          <w:color w:val="1e1916"/>
          <w:sz w:val="24"/>
        </w:rPr>
      </w:r>
      <w:r>
        <w:rPr>
          <w:rFonts w:eastAsia="Tahoma" w:cs="Tahoma"/>
          <w:color w:val="1e1916"/>
          <w:sz w:val="24"/>
        </w:rPr>
      </w:r>
    </w:p>
    <w:p>
      <w:pPr>
        <w:ind w:right="282"/>
        <w:jc w:val="both"/>
        <w:rPr>
          <w:rFonts w:eastAsia="Tahoma" w:cs="Tahoma"/>
          <w:color w:val="1e1916"/>
          <w:sz w:val="24"/>
        </w:rPr>
      </w:pPr>
      <w:r>
        <w:rPr>
          <w:rFonts w:eastAsia="Tahoma" w:cs="Tahoma"/>
          <w:color w:val="1e1916"/>
          <w:sz w:val="24"/>
        </w:rPr>
      </w:r>
      <w:r>
        <w:rPr>
          <w:rFonts w:eastAsia="Tahoma" w:cs="Tahoma"/>
          <w:color w:val="1e1916"/>
          <w:sz w:val="24"/>
        </w:rPr>
      </w:r>
    </w:p>
    <w:p>
      <w:pPr>
        <w:ind w:right="282"/>
        <w:jc w:val="both"/>
        <w:rPr>
          <w:rFonts w:eastAsia="Tahoma" w:cs="Tahoma"/>
          <w:color w:val="1e1916"/>
          <w:sz w:val="24"/>
        </w:rPr>
      </w:pPr>
      <w:r>
        <w:rPr>
          <w:rFonts w:eastAsia="Tahoma" w:cs="Tahoma"/>
          <w:color w:val="1e1916"/>
          <w:sz w:val="24"/>
        </w:rPr>
      </w:r>
      <w:r>
        <w:rPr>
          <w:rFonts w:eastAsia="Tahoma" w:cs="Tahoma"/>
          <w:color w:val="1e1916"/>
          <w:sz w:val="24"/>
        </w:rPr>
      </w:r>
    </w:p>
    <w:p>
      <w:pPr>
        <w:rPr>
          <w:rFonts w:ascii="Arial" w:hAnsi="Arial" w:cs="Arial"/>
          <w:b/>
          <w:color w:val="1e1916"/>
          <w:sz w:val="28"/>
          <w:szCs w:val="28"/>
        </w:rPr>
      </w:pPr>
      <w:r>
        <w:rPr>
          <w:rFonts w:ascii="Arial" w:hAnsi="Arial" w:cs="Arial"/>
          <w:b/>
          <w:color w:val="1e1916"/>
          <w:sz w:val="28"/>
          <w:szCs w:val="28"/>
        </w:rPr>
        <w:t xml:space="preserve">Инструкция по сборке и схема сборки</w:t>
      </w:r>
      <w:r>
        <w:rPr>
          <w:rFonts w:ascii="Arial" w:hAnsi="Arial" w:cs="Arial"/>
          <w:b/>
          <w:color w:val="1e1916"/>
          <w:sz w:val="28"/>
          <w:szCs w:val="28"/>
        </w:rPr>
      </w:r>
    </w:p>
    <w:p>
      <w:pPr>
        <w:pStyle w:val="742"/>
        <w:ind w:right="140"/>
        <w:jc w:val="both"/>
        <w:spacing w:before="65"/>
        <w:tabs>
          <w:tab w:val="left" w:pos="8647" w:leader="none"/>
        </w:tabs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Меры предосторожности во время сборки</w:t>
      </w: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:</w:t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pStyle w:val="742"/>
        <w:ind w:right="140"/>
        <w:jc w:val="both"/>
        <w:spacing w:before="65" w:line="276" w:lineRule="auto"/>
        <w:tabs>
          <w:tab w:val="left" w:pos="8647" w:leader="none"/>
        </w:tabs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Внимательно ознакомьтесь со схемой сборки, соблюдайте последовательность. 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jc w:val="both"/>
        <w:spacing w:line="276" w:lineRule="auto"/>
        <w:rPr>
          <w:rFonts w:eastAsia="Tahoma" w:cs="Tahoma"/>
          <w:color w:val="1e1916"/>
          <w:sz w:val="24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Сборка и эксплуатация оборудования должны производиться на твердой ровной поверхности.</w:t>
      </w:r>
      <w:r>
        <w:rPr>
          <w:rFonts w:eastAsia="Tahoma" w:cs="Tahoma"/>
          <w:color w:val="1e1916"/>
          <w:sz w:val="24"/>
        </w:rPr>
        <w:t xml:space="preserve"> </w:t>
      </w:r>
      <w:r>
        <w:rPr>
          <w:rFonts w:eastAsia="Tahoma" w:cs="Tahoma"/>
          <w:color w:val="1e1916"/>
          <w:sz w:val="24"/>
        </w:rPr>
      </w:r>
    </w:p>
    <w:p>
      <w:pPr>
        <w:pStyle w:val="742"/>
        <w:ind w:right="140"/>
        <w:jc w:val="both"/>
        <w:spacing w:before="65"/>
        <w:tabs>
          <w:tab w:val="left" w:pos="8647" w:leader="none"/>
        </w:tabs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Подготовка к сборке:</w:t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rPr>
          <w:sz w:val="10"/>
          <w:szCs w:val="10"/>
        </w:rPr>
      </w:pPr>
      <w:r>
        <w:rPr>
          <w:sz w:val="10"/>
          <w:szCs w:val="10"/>
        </w:rPr>
      </w:r>
      <w:r>
        <w:rPr>
          <w:sz w:val="10"/>
          <w:szCs w:val="10"/>
        </w:rPr>
      </w:r>
    </w:p>
    <w:p>
      <w:pPr>
        <w:pStyle w:val="757"/>
        <w:numPr>
          <w:ilvl w:val="0"/>
          <w:numId w:val="6"/>
        </w:numPr>
        <w:spacing w:line="276" w:lineRule="auto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Перед началом сборки удалите упаковку. 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57"/>
        <w:numPr>
          <w:ilvl w:val="0"/>
          <w:numId w:val="6"/>
        </w:numPr>
        <w:spacing w:line="276" w:lineRule="auto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Разложите комплектующие детали на заранее подготовленном месте.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57"/>
        <w:numPr>
          <w:ilvl w:val="0"/>
          <w:numId w:val="6"/>
        </w:numPr>
        <w:spacing w:line="276" w:lineRule="auto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Проверьте комплектность поставки 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57"/>
        <w:numPr>
          <w:ilvl w:val="0"/>
          <w:numId w:val="6"/>
        </w:numPr>
        <w:spacing w:line="276" w:lineRule="auto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Во время сборки держите детали стойки подальше от стен и мебели. 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spacing w:line="276" w:lineRule="auto"/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spacing w:line="276" w:lineRule="auto"/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spacing w:line="276" w:lineRule="auto"/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spacing w:line="276" w:lineRule="auto"/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Список деталей и общий вид</w:t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spacing w:line="276" w:lineRule="auto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09665" cy="3989070"/>
                <wp:effectExtent l="0" t="0" r="635" b="0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состав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209665" cy="3989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88.95pt;height:314.1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57"/>
        <w:contextualSpacing w:val="0"/>
        <w:ind w:left="417" w:right="118"/>
        <w:jc w:val="both"/>
        <w:spacing w:before="95" w:after="0" w:line="240" w:lineRule="auto"/>
        <w:widowControl w:val="off"/>
        <w:tabs>
          <w:tab w:val="left" w:pos="418" w:leader="none"/>
        </w:tabs>
        <w:rPr>
          <w:rFonts w:ascii="Arial" w:hAnsi="Arial" w:cs="Arial"/>
          <w:color w:val="231f20"/>
          <w:spacing w:val="5"/>
          <w:sz w:val="20"/>
          <w:szCs w:val="20"/>
        </w:rPr>
      </w:pPr>
      <w:r>
        <w:rPr>
          <w:rFonts w:ascii="Arial" w:hAnsi="Arial" w:cs="Arial"/>
          <w:color w:val="231f20"/>
          <w:spacing w:val="5"/>
          <w:sz w:val="20"/>
          <w:szCs w:val="20"/>
        </w:rPr>
      </w:r>
      <w:r>
        <w:rPr>
          <w:rFonts w:ascii="Arial" w:hAnsi="Arial" w:cs="Arial"/>
          <w:color w:val="231f20"/>
          <w:spacing w:val="5"/>
          <w:sz w:val="20"/>
          <w:szCs w:val="20"/>
        </w:rPr>
      </w:r>
    </w:p>
    <w:p>
      <w:pPr>
        <w:pStyle w:val="757"/>
        <w:spacing w:line="276" w:lineRule="auto"/>
        <w:rPr>
          <w:rFonts w:eastAsia="Tahoma" w:cs="Tahoma"/>
          <w:color w:val="1e1916"/>
          <w:sz w:val="24"/>
        </w:rPr>
      </w:pPr>
      <w:r>
        <w:rPr>
          <w:rFonts w:eastAsia="Tahoma" w:cs="Tahoma"/>
          <w:color w:val="1e1916"/>
          <w:sz w:val="24"/>
        </w:rPr>
      </w:r>
      <w:r>
        <w:rPr>
          <w:rFonts w:eastAsia="Tahoma" w:cs="Tahoma"/>
          <w:color w:val="1e1916"/>
          <w:sz w:val="24"/>
        </w:rPr>
      </w:r>
    </w:p>
    <w:p>
      <w:pPr>
        <w:pStyle w:val="757"/>
        <w:spacing w:line="276" w:lineRule="auto"/>
        <w:rPr>
          <w:rFonts w:eastAsia="Tahoma" w:cs="Tahoma"/>
          <w:color w:val="1e1916"/>
          <w:sz w:val="24"/>
        </w:rPr>
      </w:pPr>
      <w:r>
        <w:rPr>
          <w:rFonts w:eastAsia="Tahoma" w:cs="Tahoma"/>
          <w:color w:val="1e1916"/>
          <w:sz w:val="24"/>
        </w:rPr>
      </w:r>
      <w:r>
        <w:rPr>
          <w:rFonts w:eastAsia="Tahoma" w:cs="Tahoma"/>
          <w:color w:val="1e1916"/>
          <w:sz w:val="24"/>
        </w:rPr>
      </w:r>
    </w:p>
    <w:p>
      <w:pPr>
        <w:pStyle w:val="757"/>
        <w:spacing w:line="276" w:lineRule="auto"/>
        <w:rPr>
          <w:rFonts w:eastAsia="Tahoma" w:cs="Tahoma"/>
          <w:color w:val="1e1916"/>
          <w:sz w:val="24"/>
        </w:rPr>
      </w:pPr>
      <w:r>
        <w:rPr>
          <w:rFonts w:eastAsia="Tahoma" w:cs="Tahoma"/>
          <w:color w:val="1e1916"/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3999865</wp:posOffset>
                </wp:positionH>
                <wp:positionV relativeFrom="paragraph">
                  <wp:posOffset>60960</wp:posOffset>
                </wp:positionV>
                <wp:extent cx="317500" cy="717550"/>
                <wp:effectExtent l="0" t="0" r="25400" b="25400"/>
                <wp:wrapNone/>
                <wp:docPr id="11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7500" cy="717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o:spt="1" type="#_x0000_t1" style="position:absolute;z-index:251737088;o:allowoverlap:true;o:allowincell:true;mso-position-horizontal-relative:text;margin-left:314.95pt;mso-position-horizontal:absolute;mso-position-vertical-relative:text;margin-top:4.80pt;mso-position-vertical:absolute;width:25.00pt;height:56.50pt;mso-wrap-distance-left:9.00pt;mso-wrap-distance-top:0.00pt;mso-wrap-distance-right:9.00pt;mso-wrap-distance-bottom:0.00pt;visibility:visible;" fillcolor="#FFFFFF" strokecolor="#FFFFFF" strokeweight="1.00pt">
                <v:stroke dashstyle="solid"/>
              </v:shape>
            </w:pict>
          </mc:Fallback>
        </mc:AlternateContent>
      </w:r>
      <w:r>
        <w:rPr>
          <w:rFonts w:eastAsia="Tahoma" w:cs="Tahoma"/>
          <w:color w:val="1e1916"/>
          <w:sz w:val="24"/>
        </w:rPr>
      </w:r>
    </w:p>
    <w:p>
      <w:pPr>
        <w:pStyle w:val="757"/>
        <w:spacing w:line="276" w:lineRule="auto"/>
        <w:rPr>
          <w:rFonts w:eastAsia="Tahoma" w:cs="Tahoma"/>
          <w:color w:val="1e1916"/>
          <w:sz w:val="24"/>
        </w:rPr>
      </w:pPr>
      <w:r>
        <w:rPr>
          <w:rFonts w:eastAsia="Tahoma" w:cs="Tahoma"/>
          <w:color w:val="1e1916"/>
          <w:sz w:val="24"/>
        </w:rPr>
      </w:r>
      <w:r>
        <w:rPr>
          <w:rFonts w:eastAsia="Tahoma" w:cs="Tahoma"/>
          <w:color w:val="1e1916"/>
          <w:sz w:val="24"/>
        </w:rPr>
      </w:r>
    </w:p>
    <w:p>
      <w:pPr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  <w:t xml:space="preserve">Этапы сборки</w:t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-131604</wp:posOffset>
                </wp:positionH>
                <wp:positionV relativeFrom="paragraph">
                  <wp:posOffset>183356</wp:posOffset>
                </wp:positionV>
                <wp:extent cx="6209665" cy="4055110"/>
                <wp:effectExtent l="0" t="0" r="635" b="2540"/>
                <wp:wrapThrough wrapText="bothSides">
                  <wp:wrapPolygon edited="1">
                    <wp:start x="0" y="0"/>
                    <wp:lineTo x="0" y="21512"/>
                    <wp:lineTo x="21536" y="21512"/>
                    <wp:lineTo x="21536" y="0"/>
                    <wp:lineTo x="0" y="0"/>
                  </wp:wrapPolygon>
                </wp:wrapThrough>
                <wp:docPr id="12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этапы сборки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209665" cy="40551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position:absolute;z-index:251741184;o:allowoverlap:true;o:allowincell:true;mso-position-horizontal-relative:text;margin-left:-10.36pt;mso-position-horizontal:absolute;mso-position-vertical-relative:text;margin-top:14.44pt;mso-position-vertical:absolute;width:488.95pt;height:319.30pt;mso-wrap-distance-left:9.00pt;mso-wrap-distance-top:0.00pt;mso-wrap-distance-right:9.00pt;mso-wrap-distance-bottom:0.00pt;" wrapcoords="0 0 0 99593 99704 99593 99704 0 0 0" stroked="false">
                <v:path textboxrect="0,0,0,0"/>
                <w10:wrap type="through"/>
                <v:imagedata r:id="rId17" o:title=""/>
              </v:shape>
            </w:pict>
          </mc:Fallback>
        </mc:AlternateContent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rPr>
          <w:rFonts w:ascii="Arial" w:hAnsi="Arial" w:eastAsia="Tahoma" w:cs="Arial"/>
          <w:b/>
          <w:color w:val="1e1916"/>
          <w:sz w:val="20"/>
          <w:szCs w:val="20"/>
        </w:rPr>
      </w:pPr>
      <w:r>
        <w:rPr>
          <w:rFonts w:ascii="Arial" w:hAnsi="Arial" w:eastAsia="Tahoma" w:cs="Arial"/>
          <w:b/>
          <w:color w:val="1e1916"/>
          <w:sz w:val="20"/>
          <w:szCs w:val="20"/>
        </w:rPr>
      </w:r>
      <w:r>
        <w:rPr>
          <w:rFonts w:ascii="Arial" w:hAnsi="Arial" w:eastAsia="Tahoma" w:cs="Arial"/>
          <w:b/>
          <w:color w:val="1e1916"/>
          <w:sz w:val="20"/>
          <w:szCs w:val="20"/>
        </w:rPr>
      </w:r>
    </w:p>
    <w:p>
      <w:pPr>
        <w:rPr>
          <w:rFonts w:ascii="Arial" w:hAnsi="Arial" w:cs="Arial"/>
          <w:i/>
          <w:color w:val="231f20"/>
          <w:spacing w:val="5"/>
          <w:sz w:val="20"/>
          <w:szCs w:val="20"/>
        </w:rPr>
      </w:pPr>
      <w:r>
        <w:rPr>
          <w:rFonts w:ascii="Arial" w:hAnsi="Arial" w:cs="Arial"/>
          <w:i/>
          <w:color w:val="231f20"/>
          <w:spacing w:val="5"/>
          <w:sz w:val="20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00587" cy="3075883"/>
                <wp:effectExtent l="0" t="0" r="5080" b="0"/>
                <wp:docPr id="13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этапы сборки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700587" cy="3075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370.12pt;height:242.2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>
        <w:rPr>
          <w:rFonts w:ascii="Arial" w:hAnsi="Arial" w:cs="Arial"/>
          <w:i/>
          <w:color w:val="231f20"/>
          <w:spacing w:val="5"/>
          <w:sz w:val="20"/>
          <w:szCs w:val="20"/>
        </w:rPr>
      </w:r>
    </w:p>
    <w:p>
      <w:pPr>
        <w:rPr>
          <w:rFonts w:ascii="Arial" w:hAnsi="Arial" w:cs="Arial"/>
          <w:i/>
          <w:color w:val="231f20"/>
          <w:spacing w:val="5"/>
          <w:sz w:val="20"/>
          <w:szCs w:val="20"/>
        </w:rPr>
      </w:pPr>
      <w:r>
        <w:rPr>
          <w:rFonts w:ascii="Arial" w:hAnsi="Arial" w:cs="Arial"/>
          <w:i/>
          <w:color w:val="231f20"/>
          <w:spacing w:val="5"/>
          <w:sz w:val="20"/>
          <w:szCs w:val="20"/>
        </w:rPr>
      </w:r>
      <w:r>
        <w:rPr>
          <w:rFonts w:ascii="Arial" w:hAnsi="Arial" w:cs="Arial"/>
          <w:i/>
          <w:color w:val="231f20"/>
          <w:spacing w:val="5"/>
          <w:sz w:val="20"/>
          <w:szCs w:val="20"/>
        </w:rPr>
      </w:r>
    </w:p>
    <w:p>
      <w:pPr>
        <w:rPr>
          <w:rFonts w:ascii="Arial" w:hAnsi="Arial" w:cs="Arial"/>
          <w:color w:val="231f20"/>
          <w:spacing w:val="5"/>
          <w:sz w:val="20"/>
          <w:szCs w:val="20"/>
        </w:rPr>
      </w:pPr>
      <w:r>
        <w:rPr>
          <w:rFonts w:ascii="Arial" w:hAnsi="Arial" w:cs="Arial"/>
          <w:i/>
          <w:color w:val="231f20"/>
          <w:spacing w:val="5"/>
          <w:sz w:val="20"/>
          <w:szCs w:val="20"/>
        </w:rPr>
        <w:t xml:space="preserve">Прим.</w:t>
      </w:r>
      <w:r>
        <w:rPr>
          <w:rFonts w:ascii="Arial" w:hAnsi="Arial" w:cs="Arial"/>
          <w:color w:val="231f20"/>
          <w:spacing w:val="5"/>
          <w:sz w:val="20"/>
          <w:szCs w:val="20"/>
        </w:rPr>
        <w:t xml:space="preserve"> До окончательной сборки не рекомендуется затягивать болты слишком сильно.</w:t>
      </w:r>
      <w:r>
        <w:rPr>
          <w:rFonts w:ascii="Arial" w:hAnsi="Arial" w:cs="Arial"/>
          <w:color w:val="231f20"/>
          <w:spacing w:val="5"/>
          <w:sz w:val="20"/>
          <w:szCs w:val="20"/>
        </w:rPr>
      </w:r>
    </w:p>
    <w:p>
      <w:pPr>
        <w:pStyle w:val="756"/>
        <w:ind w:right="1132"/>
        <w:jc w:val="both"/>
        <w:spacing w:before="0" w:beforeAutospacing="0" w:after="0" w:afterAutospacing="0"/>
        <w:shd w:val="clear" w:color="auto" w:fill="ffffff"/>
        <w:rPr>
          <w:rFonts w:ascii="Arial" w:hAnsi="Arial" w:cs="Arial" w:eastAsiaTheme="minorEastAsia"/>
          <w:color w:val="231f20"/>
          <w:spacing w:val="5"/>
          <w:sz w:val="20"/>
          <w:szCs w:val="20"/>
        </w:rPr>
      </w:pP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</w:p>
    <w:p>
      <w:pPr>
        <w:pStyle w:val="756"/>
        <w:ind w:right="1132"/>
        <w:jc w:val="both"/>
        <w:spacing w:before="0" w:beforeAutospacing="0" w:after="0" w:afterAutospacing="0"/>
        <w:shd w:val="clear" w:color="auto" w:fill="ffffff"/>
        <w:rPr>
          <w:rFonts w:ascii="Arial" w:hAnsi="Arial" w:cs="Arial" w:eastAsiaTheme="minorEastAsia"/>
          <w:color w:val="231f20"/>
          <w:spacing w:val="5"/>
          <w:sz w:val="20"/>
          <w:szCs w:val="20"/>
        </w:rPr>
      </w:pP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  <w:t xml:space="preserve">Установка стойки выполняется на ровном полу. Дополнительное крепление болтами к полу не требуется. </w:t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</w:p>
    <w:p>
      <w:pPr>
        <w:pStyle w:val="756"/>
        <w:ind w:right="1132"/>
        <w:jc w:val="both"/>
        <w:spacing w:before="0" w:beforeAutospacing="0" w:after="0" w:afterAutospacing="0"/>
        <w:shd w:val="clear" w:color="auto" w:fill="ffffff"/>
        <w:rPr>
          <w:rFonts w:ascii="Arial" w:hAnsi="Arial" w:cs="Arial" w:eastAsiaTheme="minorEastAsia"/>
          <w:color w:val="231f20"/>
          <w:spacing w:val="5"/>
          <w:sz w:val="20"/>
          <w:szCs w:val="20"/>
        </w:rPr>
      </w:pP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</w:p>
    <w:p>
      <w:pPr>
        <w:pStyle w:val="756"/>
        <w:ind w:right="1132"/>
        <w:jc w:val="both"/>
        <w:spacing w:before="0" w:beforeAutospacing="0" w:after="0" w:afterAutospacing="0"/>
        <w:shd w:val="clear" w:color="auto" w:fill="ffffff"/>
        <w:rPr>
          <w:rFonts w:ascii="Arial" w:hAnsi="Arial" w:cs="Arial" w:eastAsiaTheme="minorEastAsia"/>
          <w:color w:val="231f20"/>
          <w:spacing w:val="5"/>
          <w:sz w:val="20"/>
          <w:szCs w:val="20"/>
        </w:rPr>
      </w:pP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</w:p>
    <w:p>
      <w:pPr>
        <w:rPr>
          <w:rFonts w:ascii="Arial" w:hAnsi="Arial" w:cs="Arial"/>
          <w:b/>
          <w:color w:val="1e1916"/>
          <w:sz w:val="28"/>
          <w:szCs w:val="28"/>
        </w:rPr>
      </w:pPr>
      <w:r>
        <w:rPr>
          <w:rFonts w:ascii="Arial" w:hAnsi="Arial" w:cs="Arial"/>
          <w:b/>
          <w:color w:val="1e1916"/>
          <w:sz w:val="28"/>
          <w:szCs w:val="28"/>
        </w:rPr>
        <w:t xml:space="preserve">Техническое обслуживание и осмотр</w:t>
      </w:r>
      <w:r>
        <w:rPr>
          <w:rFonts w:ascii="Arial" w:hAnsi="Arial" w:cs="Arial"/>
          <w:b/>
          <w:color w:val="1e1916"/>
          <w:sz w:val="28"/>
          <w:szCs w:val="28"/>
        </w:rPr>
      </w:r>
    </w:p>
    <w:p>
      <w:pPr>
        <w:pStyle w:val="756"/>
        <w:ind w:right="-2"/>
        <w:jc w:val="both"/>
        <w:spacing w:before="0" w:beforeAutospacing="0" w:after="0" w:afterAutospacing="0" w:line="276" w:lineRule="auto"/>
        <w:shd w:val="clear" w:color="auto" w:fill="ffffff"/>
        <w:rPr>
          <w:rFonts w:ascii="Arial" w:hAnsi="Arial" w:cs="Arial" w:eastAsiaTheme="minorEastAsia"/>
          <w:color w:val="231f20"/>
          <w:spacing w:val="5"/>
          <w:sz w:val="20"/>
          <w:szCs w:val="20"/>
        </w:rPr>
      </w:pP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  <w:t xml:space="preserve">В целях обеспечения безопасной эксплуатации необходимо проводить регулярные осмотры стойки с целью выявления повреждений, снижающих прочность несущих конструкций, и </w:t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  <w:t xml:space="preserve">опасных дефектов, являющихся результатом ненадлежащего использования, вандализма или прочих воздействий. Обнаруженные во время осмотра неполадки должны быть немедленно устранены, а если это невозможно, то оборудование должно быть закрыто для использования.</w:t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</w:p>
    <w:p>
      <w:pPr>
        <w:pStyle w:val="756"/>
        <w:ind w:right="-2"/>
        <w:jc w:val="both"/>
        <w:spacing w:before="0" w:beforeAutospacing="0" w:after="0" w:afterAutospacing="0"/>
        <w:shd w:val="clear" w:color="auto" w:fill="ffffff"/>
        <w:rPr>
          <w:rFonts w:ascii="Arial" w:hAnsi="Arial" w:cs="Arial" w:eastAsiaTheme="minorEastAsia"/>
          <w:color w:val="231f20"/>
          <w:spacing w:val="5"/>
          <w:sz w:val="20"/>
          <w:szCs w:val="20"/>
        </w:rPr>
      </w:pP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</w:p>
    <w:p>
      <w:pPr>
        <w:pStyle w:val="756"/>
        <w:ind w:right="-2"/>
        <w:jc w:val="both"/>
        <w:spacing w:before="0" w:beforeAutospacing="0" w:after="0" w:afterAutospacing="0"/>
        <w:shd w:val="clear" w:color="auto" w:fill="ffffff"/>
        <w:rPr>
          <w:rFonts w:ascii="Arial" w:hAnsi="Arial" w:cs="Arial" w:eastAsiaTheme="minorEastAsia"/>
          <w:color w:val="231f20"/>
          <w:spacing w:val="5"/>
          <w:sz w:val="20"/>
          <w:szCs w:val="20"/>
        </w:rPr>
      </w:pP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  <w:t xml:space="preserve">Ежедневный визуальный осмотр состояния стеллажа – стойки включает проверку целостности конструкции, наличия всех элементов. </w:t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</w:p>
    <w:p>
      <w:pPr>
        <w:pStyle w:val="756"/>
        <w:ind w:right="-2"/>
        <w:jc w:val="both"/>
        <w:spacing w:before="0" w:beforeAutospacing="0" w:after="0" w:afterAutospacing="0"/>
        <w:shd w:val="clear" w:color="auto" w:fill="ffffff"/>
        <w:rPr>
          <w:rFonts w:ascii="Arial" w:hAnsi="Arial" w:cs="Arial" w:eastAsiaTheme="minorEastAsia"/>
          <w:color w:val="231f20"/>
          <w:spacing w:val="5"/>
          <w:sz w:val="20"/>
          <w:szCs w:val="20"/>
        </w:rPr>
      </w:pP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</w:p>
    <w:p>
      <w:pPr>
        <w:ind w:right="282"/>
        <w:jc w:val="both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Ежегодный основной осмотр включает следующие работы: 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ind w:right="282"/>
        <w:jc w:val="both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-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проверку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надежности несущей конструкции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ind w:right="282"/>
        <w:jc w:val="both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-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проверку элементов стойки на предмет наличия коррозии. 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ind w:right="282"/>
        <w:jc w:val="both"/>
        <w:rPr>
          <w:rFonts w:eastAsia="Tahoma" w:cs="Tahoma"/>
          <w:color w:val="1e1916"/>
          <w:sz w:val="24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При обнаружении очагов коррозии произвести антикорр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озионную обработку и подкраску</w:t>
      </w:r>
      <w:r>
        <w:rPr>
          <w:rFonts w:eastAsia="Tahoma" w:cs="Tahoma"/>
          <w:color w:val="1e1916"/>
          <w:sz w:val="24"/>
        </w:rPr>
        <w:t xml:space="preserve">.</w:t>
      </w:r>
      <w:r>
        <w:rPr>
          <w:rFonts w:eastAsia="Tahoma" w:cs="Tahoma"/>
          <w:color w:val="1e1916"/>
          <w:sz w:val="24"/>
        </w:rPr>
      </w:r>
    </w:p>
    <w:p>
      <w:pPr>
        <w:ind w:right="282"/>
        <w:jc w:val="both"/>
        <w:rPr>
          <w:rFonts w:ascii="Arial" w:hAnsi="Arial" w:cs="Arial"/>
          <w:b/>
          <w:color w:val="1e1916"/>
          <w:sz w:val="28"/>
          <w:szCs w:val="28"/>
        </w:rPr>
      </w:pPr>
      <w:r>
        <w:rPr>
          <w:rFonts w:ascii="Arial" w:hAnsi="Arial" w:cs="Arial"/>
          <w:b/>
          <w:color w:val="1e1916"/>
          <w:sz w:val="28"/>
          <w:szCs w:val="28"/>
        </w:rPr>
        <w:t xml:space="preserve">Хранение и транспортировка</w:t>
      </w:r>
      <w:r>
        <w:rPr>
          <w:rFonts w:ascii="Arial" w:hAnsi="Arial" w:cs="Arial"/>
          <w:b/>
          <w:color w:val="1e1916"/>
          <w:sz w:val="28"/>
          <w:szCs w:val="28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ascii="Arial" w:hAnsi="Arial" w:cs="Arial" w:eastAsiaTheme="minorEastAsia"/>
          <w:color w:val="231f20"/>
          <w:spacing w:val="5"/>
          <w:sz w:val="20"/>
          <w:szCs w:val="20"/>
        </w:rPr>
      </w:pP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  <w:t xml:space="preserve">Хранение стеллажа-стойки должно осуществляться в помещениях с относительной влажностью не более 85%, закрытых от атмосферных осадков и капель жидкости.</w:t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ascii="Arial" w:hAnsi="Arial" w:cs="Arial" w:eastAsiaTheme="minorEastAsia"/>
          <w:color w:val="231f20"/>
          <w:spacing w:val="5"/>
          <w:sz w:val="20"/>
          <w:szCs w:val="20"/>
        </w:rPr>
      </w:pP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ascii="Arial" w:hAnsi="Arial" w:cs="Arial" w:eastAsiaTheme="minorEastAsia"/>
          <w:color w:val="231f20"/>
          <w:spacing w:val="5"/>
          <w:sz w:val="20"/>
          <w:szCs w:val="20"/>
        </w:rPr>
      </w:pP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  <w:t xml:space="preserve">В процессе транспортировки не допускается:</w:t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eastAsia="Tahoma" w:cs="Tahoma" w:asciiTheme="minorHAnsi" w:hAnsiTheme="minorHAnsi"/>
          <w:color w:val="1e1916"/>
          <w:szCs w:val="22"/>
        </w:rPr>
      </w:pPr>
      <w:r>
        <w:rPr>
          <w:rFonts w:eastAsia="Tahoma" w:cs="Tahoma" w:asciiTheme="minorHAnsi" w:hAnsiTheme="minorHAnsi"/>
          <w:color w:val="1e1916"/>
          <w:szCs w:val="22"/>
        </w:rPr>
      </w:r>
      <w:r>
        <w:rPr>
          <w:rFonts w:eastAsia="Tahoma" w:cs="Tahoma" w:asciiTheme="minorHAnsi" w:hAnsiTheme="minorHAnsi"/>
          <w:color w:val="1e1916"/>
          <w:szCs w:val="22"/>
        </w:rPr>
      </w:r>
    </w:p>
    <w:p>
      <w:pPr>
        <w:pStyle w:val="756"/>
        <w:numPr>
          <w:ilvl w:val="0"/>
          <w:numId w:val="8"/>
        </w:numPr>
        <w:jc w:val="both"/>
        <w:spacing w:before="0" w:beforeAutospacing="0" w:after="0" w:afterAutospacing="0" w:line="276" w:lineRule="auto"/>
        <w:shd w:val="clear" w:color="auto" w:fill="ffffff"/>
        <w:rPr>
          <w:rFonts w:ascii="Arial" w:hAnsi="Arial" w:eastAsia="Tahoma" w:cs="Arial"/>
          <w:color w:val="1e1916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Бросать стойку с высоты более 0,3 метра</w:t>
      </w:r>
      <w:r>
        <w:rPr>
          <w:rFonts w:ascii="Arial" w:hAnsi="Arial" w:eastAsia="Tahoma" w:cs="Arial"/>
          <w:color w:val="1e1916"/>
          <w:sz w:val="20"/>
          <w:szCs w:val="20"/>
        </w:rPr>
      </w:r>
    </w:p>
    <w:p>
      <w:pPr>
        <w:pStyle w:val="756"/>
        <w:numPr>
          <w:ilvl w:val="0"/>
          <w:numId w:val="8"/>
        </w:numPr>
        <w:jc w:val="both"/>
        <w:spacing w:before="0" w:beforeAutospacing="0" w:after="0" w:afterAutospacing="0" w:line="276" w:lineRule="auto"/>
        <w:shd w:val="clear" w:color="auto" w:fill="ffffff"/>
        <w:rPr>
          <w:rFonts w:ascii="Arial" w:hAnsi="Arial" w:cs="Arial"/>
          <w:color w:val="444444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Тянуть стойку по твёрдой поверхности</w:t>
      </w:r>
      <w:r>
        <w:rPr>
          <w:rFonts w:ascii="Arial" w:hAnsi="Arial" w:cs="Arial"/>
          <w:color w:val="444444"/>
          <w:sz w:val="20"/>
          <w:szCs w:val="20"/>
        </w:rPr>
      </w:r>
    </w:p>
    <w:p>
      <w:pPr>
        <w:pStyle w:val="756"/>
        <w:numPr>
          <w:ilvl w:val="0"/>
          <w:numId w:val="8"/>
        </w:numPr>
        <w:jc w:val="both"/>
        <w:spacing w:before="0" w:beforeAutospacing="0" w:after="0" w:afterAutospacing="0" w:line="276" w:lineRule="auto"/>
        <w:shd w:val="clear" w:color="auto" w:fill="ffffff"/>
        <w:rPr>
          <w:rFonts w:ascii="Arial" w:hAnsi="Arial" w:cs="Arial"/>
          <w:color w:val="444444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Бросать на стойку предметы с массой более 3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кг с высоты более 0,3 метра</w:t>
      </w:r>
      <w:r>
        <w:rPr>
          <w:rFonts w:ascii="Arial" w:hAnsi="Arial" w:cs="Arial"/>
          <w:color w:val="444444"/>
          <w:sz w:val="20"/>
          <w:szCs w:val="20"/>
        </w:rPr>
      </w:r>
    </w:p>
    <w:p>
      <w:pPr>
        <w:pStyle w:val="756"/>
        <w:numPr>
          <w:ilvl w:val="0"/>
          <w:numId w:val="8"/>
        </w:numPr>
        <w:jc w:val="both"/>
        <w:spacing w:before="0" w:beforeAutospacing="0" w:after="0" w:afterAutospacing="0" w:line="276" w:lineRule="auto"/>
        <w:shd w:val="clear" w:color="auto" w:fill="ffffff"/>
        <w:rPr>
          <w:rFonts w:ascii="Arial" w:hAnsi="Arial" w:cs="Arial"/>
          <w:color w:val="444444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Ц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арапать 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стойку острыми твёрдыми предметами</w:t>
      </w:r>
      <w:r>
        <w:rPr>
          <w:rFonts w:ascii="Arial" w:hAnsi="Arial" w:cs="Arial"/>
          <w:color w:val="444444"/>
          <w:sz w:val="20"/>
          <w:szCs w:val="20"/>
        </w:rPr>
      </w:r>
    </w:p>
    <w:p>
      <w:pPr>
        <w:pStyle w:val="756"/>
        <w:numPr>
          <w:ilvl w:val="0"/>
          <w:numId w:val="8"/>
        </w:numPr>
        <w:jc w:val="both"/>
        <w:spacing w:before="0" w:beforeAutospacing="0" w:after="0" w:afterAutospacing="0" w:line="276" w:lineRule="auto"/>
        <w:shd w:val="clear" w:color="auto" w:fill="ffffff"/>
        <w:rPr>
          <w:rFonts w:ascii="Arial" w:hAnsi="Arial" w:cs="Arial"/>
          <w:color w:val="444444"/>
          <w:sz w:val="20"/>
          <w:szCs w:val="20"/>
        </w:rPr>
      </w:pPr>
      <w:r>
        <w:rPr>
          <w:rFonts w:ascii="Arial" w:hAnsi="Arial" w:eastAsia="Tahoma" w:cs="Arial"/>
          <w:color w:val="1e1916"/>
          <w:sz w:val="20"/>
          <w:szCs w:val="20"/>
        </w:rPr>
        <w:t xml:space="preserve">Н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арушать упаковку изделия любыми способами. В случае невозможности соблюдения вышеуказанных правил, транспортировка должна осуществляться в жёсткой упаковке (обрешётка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/ящик</w:t>
      </w:r>
      <w:r>
        <w:rPr>
          <w:rFonts w:ascii="Arial" w:hAnsi="Arial" w:eastAsia="Tahoma" w:cs="Arial"/>
          <w:color w:val="1e1916"/>
          <w:sz w:val="20"/>
          <w:szCs w:val="20"/>
        </w:rPr>
        <w:t xml:space="preserve">).</w:t>
      </w:r>
      <w:r>
        <w:rPr>
          <w:rFonts w:ascii="Arial" w:hAnsi="Arial" w:cs="Arial"/>
          <w:color w:val="444444"/>
          <w:sz w:val="20"/>
          <w:szCs w:val="20"/>
        </w:rPr>
      </w:r>
    </w:p>
    <w:p>
      <w:pPr>
        <w:pStyle w:val="756"/>
        <w:spacing w:before="0" w:beforeAutospacing="0" w:after="0" w:afterAutospacing="0"/>
        <w:shd w:val="clear" w:color="auto" w:fill="ffffff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</w:r>
      <w:r>
        <w:rPr>
          <w:rFonts w:ascii="Arial" w:hAnsi="Arial" w:cs="Arial"/>
          <w:color w:val="444444"/>
        </w:rPr>
      </w:r>
    </w:p>
    <w:p>
      <w:pPr>
        <w:pStyle w:val="756"/>
        <w:ind w:firstLine="480"/>
        <w:spacing w:before="0" w:beforeAutospacing="0" w:after="0" w:afterAutospacing="0"/>
        <w:shd w:val="clear" w:color="auto" w:fill="ffffff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</w:r>
      <w:r>
        <w:rPr>
          <w:rFonts w:ascii="Arial" w:hAnsi="Arial" w:cs="Arial"/>
          <w:color w:val="444444"/>
        </w:rPr>
      </w:r>
    </w:p>
    <w:p>
      <w:pPr>
        <w:pStyle w:val="756"/>
        <w:jc w:val="both"/>
        <w:spacing w:before="0" w:beforeAutospacing="0" w:after="0" w:afterAutospacing="0" w:line="276" w:lineRule="auto"/>
        <w:shd w:val="clear" w:color="auto" w:fill="ffffff"/>
        <w:rPr>
          <w:rFonts w:ascii="Arial" w:hAnsi="Arial" w:cs="Arial" w:eastAsiaTheme="minorEastAsia"/>
          <w:color w:val="231f20"/>
          <w:spacing w:val="5"/>
          <w:sz w:val="20"/>
          <w:szCs w:val="20"/>
        </w:rPr>
      </w:pP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  <w:t xml:space="preserve">Срок службы </w:t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  <w:t xml:space="preserve">7</w:t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  <w:t xml:space="preserve"> лет (кроме отдельных элементов стойки). Эксплуатация оборудования по истечении указанного срока допускается только после провед</w:t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  <w:t xml:space="preserve">ения процедуры его освидетельствования специалистами сервисного центра. В случае превышения срока службы могут возникнуть разрушения силовых элементов конструкции вследствие усталостного износа, что может привести к непредсказуемым негативным последствиям.</w:t>
      </w:r>
      <w:r>
        <w:rPr>
          <w:rFonts w:ascii="Arial" w:hAnsi="Arial" w:cs="Arial" w:eastAsiaTheme="minorEastAsia"/>
          <w:color w:val="231f20"/>
          <w:spacing w:val="5"/>
          <w:sz w:val="20"/>
          <w:szCs w:val="20"/>
        </w:rPr>
      </w:r>
    </w:p>
    <w:p>
      <w:r/>
      <w:r/>
    </w:p>
    <w:p>
      <w:pPr>
        <w:ind w:left="-284"/>
        <w:jc w:val="center"/>
        <w:rPr>
          <w:rFonts w:ascii="Arial" w:hAnsi="Arial" w:eastAsia="SimSun" w:cs="Arial"/>
          <w:b/>
          <w:sz w:val="32"/>
          <w:szCs w:val="32"/>
          <w:lang w:eastAsia="zh-CN"/>
        </w:rPr>
      </w:pPr>
      <w:r>
        <w:rPr>
          <w:rFonts w:ascii="Arial" w:hAnsi="Arial" w:eastAsia="SimSun" w:cs="Arial"/>
          <w:b/>
          <w:sz w:val="32"/>
          <w:szCs w:val="32"/>
          <w:lang w:eastAsia="zh-CN"/>
        </w:rPr>
      </w:r>
      <w:r>
        <w:rPr>
          <w:rFonts w:ascii="Arial" w:hAnsi="Arial" w:eastAsia="SimSun" w:cs="Arial"/>
          <w:b/>
          <w:sz w:val="32"/>
          <w:szCs w:val="32"/>
          <w:lang w:eastAsia="zh-CN"/>
        </w:rPr>
      </w:r>
    </w:p>
    <w:p>
      <w:pPr>
        <w:ind w:left="-284"/>
        <w:jc w:val="center"/>
        <w:rPr>
          <w:rFonts w:ascii="Arial" w:hAnsi="Arial" w:eastAsia="SimSun" w:cs="Arial"/>
          <w:b/>
          <w:sz w:val="32"/>
          <w:szCs w:val="32"/>
          <w:lang w:eastAsia="zh-CN"/>
        </w:rPr>
      </w:pPr>
      <w:r>
        <w:rPr>
          <w:rFonts w:ascii="Arial" w:hAnsi="Arial" w:eastAsia="SimSun" w:cs="Arial"/>
          <w:b/>
          <w:sz w:val="32"/>
          <w:szCs w:val="32"/>
          <w:lang w:eastAsia="zh-CN"/>
        </w:rPr>
      </w:r>
      <w:r>
        <w:rPr>
          <w:rFonts w:ascii="Arial" w:hAnsi="Arial" w:eastAsia="SimSun" w:cs="Arial"/>
          <w:b/>
          <w:sz w:val="32"/>
          <w:szCs w:val="32"/>
          <w:lang w:eastAsia="zh-CN"/>
        </w:rPr>
      </w:r>
    </w:p>
    <w:p>
      <w:pPr>
        <w:ind w:left="-284"/>
        <w:jc w:val="center"/>
        <w:rPr>
          <w:rFonts w:ascii="Arial" w:hAnsi="Arial" w:eastAsia="SimSun" w:cs="Arial"/>
          <w:b/>
          <w:sz w:val="32"/>
          <w:szCs w:val="32"/>
          <w:lang w:eastAsia="zh-CN"/>
        </w:rPr>
      </w:pPr>
      <w:r>
        <w:rPr>
          <w:rFonts w:ascii="Arial" w:hAnsi="Arial" w:eastAsia="SimSun" w:cs="Arial"/>
          <w:b/>
          <w:sz w:val="32"/>
          <w:szCs w:val="32"/>
          <w:lang w:eastAsia="zh-CN"/>
        </w:rPr>
      </w:r>
      <w:r>
        <w:rPr>
          <w:rFonts w:ascii="Arial" w:hAnsi="Arial" w:eastAsia="SimSun" w:cs="Arial"/>
          <w:b/>
          <w:sz w:val="32"/>
          <w:szCs w:val="32"/>
          <w:lang w:eastAsia="zh-CN"/>
        </w:rPr>
      </w:r>
    </w:p>
    <w:p>
      <w:pPr>
        <w:rPr>
          <w:rFonts w:ascii="Arial" w:hAnsi="Arial" w:eastAsia="SimSun" w:cs="Arial"/>
          <w:b/>
          <w:sz w:val="32"/>
          <w:szCs w:val="32"/>
          <w:lang w:eastAsia="zh-CN"/>
        </w:rPr>
      </w:pPr>
      <w:r>
        <w:rPr>
          <w:rFonts w:ascii="Arial" w:hAnsi="Arial" w:eastAsia="SimSun" w:cs="Arial"/>
          <w:b/>
          <w:sz w:val="32"/>
          <w:szCs w:val="32"/>
          <w:lang w:eastAsia="zh-CN"/>
        </w:rPr>
      </w:r>
      <w:r>
        <w:rPr>
          <w:rFonts w:ascii="Arial" w:hAnsi="Arial" w:eastAsia="SimSun" w:cs="Arial"/>
          <w:b/>
          <w:sz w:val="32"/>
          <w:szCs w:val="32"/>
          <w:lang w:eastAsia="zh-CN"/>
        </w:rPr>
      </w:r>
    </w:p>
    <w:p>
      <w:pPr>
        <w:rPr>
          <w:rFonts w:ascii="Arial" w:hAnsi="Arial" w:eastAsia="SimSun" w:cs="Arial"/>
          <w:b/>
          <w:sz w:val="32"/>
          <w:szCs w:val="32"/>
          <w:lang w:eastAsia="zh-CN"/>
        </w:rPr>
      </w:pPr>
      <w:r>
        <w:rPr>
          <w:rFonts w:ascii="Arial" w:hAnsi="Arial" w:eastAsia="SimSun" w:cs="Arial"/>
          <w:b/>
          <w:sz w:val="32"/>
          <w:szCs w:val="32"/>
          <w:lang w:eastAsia="zh-CN"/>
        </w:rPr>
      </w:r>
      <w:r>
        <w:rPr>
          <w:rFonts w:ascii="Arial" w:hAnsi="Arial" w:eastAsia="SimSun" w:cs="Arial"/>
          <w:b/>
          <w:sz w:val="32"/>
          <w:szCs w:val="32"/>
          <w:lang w:eastAsia="zh-CN"/>
        </w:rPr>
      </w:r>
    </w:p>
    <w:p>
      <w:pPr>
        <w:rPr>
          <w:rFonts w:ascii="Arial" w:hAnsi="Arial" w:eastAsia="SimSun" w:cs="Arial"/>
          <w:b/>
          <w:sz w:val="32"/>
          <w:szCs w:val="32"/>
          <w:lang w:eastAsia="zh-CN"/>
        </w:rPr>
      </w:pPr>
      <w:r>
        <w:rPr>
          <w:rFonts w:ascii="Arial" w:hAnsi="Arial" w:eastAsia="SimSun" w:cs="Arial"/>
          <w:b/>
          <w:sz w:val="32"/>
          <w:szCs w:val="32"/>
          <w:lang w:eastAsia="zh-CN"/>
        </w:rPr>
      </w:r>
      <w:r>
        <w:rPr>
          <w:rFonts w:ascii="Arial" w:hAnsi="Arial" w:eastAsia="SimSun" w:cs="Arial"/>
          <w:b/>
          <w:sz w:val="32"/>
          <w:szCs w:val="32"/>
          <w:lang w:eastAsia="zh-CN"/>
        </w:rPr>
      </w:r>
    </w:p>
    <w:p>
      <w:pPr>
        <w:rPr>
          <w:rFonts w:ascii="Arial" w:hAnsi="Arial" w:eastAsia="SimSun" w:cs="Arial"/>
          <w:b/>
          <w:sz w:val="32"/>
          <w:szCs w:val="32"/>
          <w:lang w:eastAsia="zh-CN"/>
        </w:rPr>
      </w:pPr>
      <w:r>
        <w:rPr>
          <w:rFonts w:ascii="Arial" w:hAnsi="Arial" w:eastAsia="SimSun" w:cs="Arial"/>
          <w:b/>
          <w:sz w:val="32"/>
          <w:szCs w:val="32"/>
          <w:lang w:eastAsia="zh-CN"/>
        </w:rPr>
      </w:r>
      <w:r>
        <w:rPr>
          <w:rFonts w:ascii="Arial" w:hAnsi="Arial" w:eastAsia="SimSun" w:cs="Arial"/>
          <w:b/>
          <w:sz w:val="32"/>
          <w:szCs w:val="32"/>
          <w:lang w:eastAsia="zh-CN"/>
        </w:rPr>
      </w:r>
    </w:p>
    <w:p>
      <w:pPr>
        <w:rPr>
          <w:rFonts w:ascii="Arial" w:hAnsi="Arial" w:eastAsia="SimSun" w:cs="Arial"/>
          <w:b/>
          <w:sz w:val="32"/>
          <w:szCs w:val="32"/>
          <w:lang w:eastAsia="zh-CN"/>
        </w:rPr>
      </w:pPr>
      <w:r/>
      <w:bookmarkStart w:id="0" w:name="_GoBack"/>
      <w:r/>
      <w:bookmarkEnd w:id="0"/>
      <w:r/>
      <w:r>
        <w:rPr>
          <w:rFonts w:ascii="Arial" w:hAnsi="Arial" w:eastAsia="SimSun" w:cs="Arial"/>
          <w:b/>
          <w:sz w:val="32"/>
          <w:szCs w:val="32"/>
          <w:lang w:eastAsia="zh-CN"/>
        </w:rPr>
      </w:r>
    </w:p>
    <w:p>
      <w:pPr>
        <w:rPr>
          <w:rFonts w:ascii="Arial" w:hAnsi="Arial" w:eastAsia="SimSun" w:cs="Arial"/>
          <w:b/>
          <w:sz w:val="32"/>
          <w:szCs w:val="32"/>
          <w:lang w:eastAsia="zh-CN"/>
        </w:rPr>
      </w:pPr>
      <w:r>
        <w:rPr>
          <w:rFonts w:ascii="Arial" w:hAnsi="Arial" w:eastAsia="SimSun" w:cs="Arial"/>
          <w:b/>
          <w:sz w:val="32"/>
          <w:szCs w:val="32"/>
          <w:lang w:eastAsia="zh-CN"/>
        </w:rPr>
      </w:r>
      <w:r>
        <w:rPr>
          <w:rFonts w:ascii="Arial" w:hAnsi="Arial" w:eastAsia="SimSun" w:cs="Arial"/>
          <w:b/>
          <w:sz w:val="32"/>
          <w:szCs w:val="32"/>
          <w:lang w:eastAsia="zh-CN"/>
        </w:rPr>
      </w:r>
    </w:p>
    <w:p>
      <w:pPr>
        <w:ind w:left="-284"/>
        <w:jc w:val="center"/>
        <w:rPr>
          <w:rFonts w:ascii="Arial" w:hAnsi="Arial" w:eastAsia="SimSun" w:cs="Arial"/>
          <w:b/>
          <w:sz w:val="32"/>
          <w:szCs w:val="32"/>
          <w:lang w:eastAsia="zh-CN"/>
        </w:rPr>
      </w:pPr>
      <w:r>
        <w:rPr>
          <w:rFonts w:ascii="Arial" w:hAnsi="Arial" w:eastAsia="SimSun" w:cs="Arial"/>
          <w:b/>
          <w:sz w:val="32"/>
          <w:szCs w:val="32"/>
          <w:lang w:eastAsia="zh-CN"/>
        </w:rPr>
        <w:t xml:space="preserve">ПОЗДРАВЛЯЕМ!</w:t>
      </w:r>
      <w:r>
        <w:rPr>
          <w:rFonts w:ascii="Arial" w:hAnsi="Arial" w:eastAsia="SimSun" w:cs="Arial"/>
          <w:b/>
          <w:sz w:val="32"/>
          <w:szCs w:val="32"/>
          <w:lang w:eastAsia="zh-CN"/>
        </w:rPr>
      </w:r>
    </w:p>
    <w:p>
      <w:pPr>
        <w:ind w:left="-284" w:hanging="141"/>
        <w:jc w:val="center"/>
        <w:rPr>
          <w:rFonts w:ascii="Times New Roman" w:hAnsi="Times New Roman" w:eastAsia="SimSun" w:cs="Times New Roman"/>
          <w:b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b/>
          <w:sz w:val="28"/>
          <w:szCs w:val="28"/>
          <w:lang w:eastAsia="zh-CN"/>
        </w:rPr>
      </w:r>
      <w:r>
        <w:rPr>
          <w:rFonts w:ascii="Times New Roman" w:hAnsi="Times New Roman" w:eastAsia="SimSun" w:cs="Times New Roman"/>
          <w:b/>
          <w:sz w:val="28"/>
          <w:szCs w:val="28"/>
          <w:lang w:eastAsia="zh-CN"/>
        </w:rPr>
      </w:r>
    </w:p>
    <w:p>
      <w:pPr>
        <w:ind w:right="-24"/>
        <w:rPr>
          <w:rFonts w:ascii="Arial" w:hAnsi="Arial" w:eastAsia="SimSun" w:cs="Arial"/>
          <w:b/>
          <w:sz w:val="24"/>
          <w:szCs w:val="24"/>
          <w:lang w:eastAsia="zh-CN"/>
        </w:rPr>
      </w:pPr>
      <w:r>
        <w:rPr>
          <w:rFonts w:ascii="Arial" w:hAnsi="Arial" w:eastAsia="SimSun" w:cs="Arial"/>
          <w:b/>
          <w:sz w:val="24"/>
          <w:szCs w:val="24"/>
          <w:lang w:eastAsia="zh-CN"/>
        </w:rPr>
        <w:t xml:space="preserve">Вы </w:t>
      </w:r>
      <w:r>
        <w:rPr>
          <w:rFonts w:ascii="Arial" w:hAnsi="Arial" w:eastAsia="SimSun" w:cs="Arial"/>
          <w:b/>
          <w:sz w:val="24"/>
          <w:szCs w:val="24"/>
          <w:lang w:eastAsia="zh-CN"/>
        </w:rPr>
        <w:t xml:space="preserve">приобрели </w:t>
      </w:r>
      <w:r>
        <w:rPr>
          <w:rFonts w:ascii="Arial" w:hAnsi="Arial" w:eastAsia="SimSun" w:cs="Arial"/>
          <w:b/>
          <w:sz w:val="24"/>
          <w:szCs w:val="24"/>
          <w:lang w:eastAsia="zh-CN"/>
        </w:rPr>
        <w:t xml:space="preserve">стойку</w:t>
      </w:r>
      <w:r>
        <w:rPr>
          <w:rFonts w:ascii="Arial" w:hAnsi="Arial" w:eastAsia="SimSun" w:cs="Arial"/>
          <w:b/>
          <w:sz w:val="24"/>
          <w:szCs w:val="24"/>
          <w:lang w:eastAsia="zh-CN"/>
        </w:rPr>
        <w:t xml:space="preserve"> </w:t>
      </w:r>
      <w:r>
        <w:rPr>
          <w:rFonts w:ascii="Arial" w:hAnsi="Arial" w:eastAsia="SimSun" w:cs="Arial"/>
          <w:b/>
          <w:sz w:val="24"/>
          <w:szCs w:val="24"/>
          <w:lang w:eastAsia="zh-CN"/>
        </w:rPr>
        <w:t xml:space="preserve">торговой марки </w:t>
      </w:r>
      <w:r>
        <w:rPr>
          <w:rFonts w:ascii="Arial" w:hAnsi="Arial" w:eastAsia="SimSun" w:cs="Arial"/>
          <w:b/>
          <w:sz w:val="24"/>
          <w:szCs w:val="24"/>
          <w:lang w:val="en-US" w:eastAsia="zh-CN"/>
        </w:rPr>
        <w:t xml:space="preserve">Aerofit</w:t>
      </w:r>
      <w:r>
        <w:rPr>
          <w:rFonts w:ascii="Arial" w:hAnsi="Arial" w:eastAsia="SimSun" w:cs="Arial"/>
          <w:b/>
          <w:sz w:val="24"/>
          <w:szCs w:val="24"/>
          <w:lang w:eastAsia="zh-CN"/>
        </w:rPr>
        <w:t xml:space="preserve"> для хранения </w:t>
      </w:r>
      <w:r>
        <w:rPr>
          <w:rFonts w:ascii="Arial" w:hAnsi="Arial" w:eastAsia="SimSun" w:cs="Arial"/>
          <w:b/>
          <w:sz w:val="24"/>
          <w:szCs w:val="24"/>
          <w:lang w:eastAsia="zh-CN"/>
        </w:rPr>
        <w:t xml:space="preserve">спортивного</w:t>
      </w:r>
      <w:r>
        <w:rPr>
          <w:rFonts w:ascii="Arial" w:hAnsi="Arial" w:eastAsia="SimSun" w:cs="Arial"/>
          <w:b/>
          <w:sz w:val="24"/>
          <w:szCs w:val="24"/>
          <w:lang w:eastAsia="zh-CN"/>
        </w:rPr>
        <w:t xml:space="preserve"> инвентаря.</w:t>
      </w:r>
      <w:r>
        <w:rPr>
          <w:rFonts w:ascii="Arial" w:hAnsi="Arial" w:eastAsia="SimSun" w:cs="Arial"/>
          <w:b/>
          <w:sz w:val="24"/>
          <w:szCs w:val="24"/>
          <w:lang w:eastAsia="zh-CN"/>
        </w:rPr>
      </w:r>
    </w:p>
    <w:p>
      <w:pPr>
        <w:ind w:right="-24"/>
        <w:jc w:val="both"/>
        <w:rPr>
          <w:rFonts w:ascii="Arial" w:hAnsi="Arial" w:cs="Arial"/>
          <w:color w:val="231f20"/>
          <w:spacing w:val="5"/>
          <w:sz w:val="20"/>
          <w:szCs w:val="20"/>
        </w:rPr>
      </w:pPr>
      <w:r>
        <w:rPr>
          <w:rFonts w:ascii="Arial" w:hAnsi="Arial" w:cs="Arial"/>
          <w:color w:val="231f20"/>
          <w:spacing w:val="5"/>
          <w:sz w:val="20"/>
          <w:szCs w:val="20"/>
        </w:rPr>
        <w:t xml:space="preserve">Наша команда призвана сделать Ваши тренировки интересными и полезными, предоставляя подробную информацию и поддержку, на которую Вы всегда можете рассчитывать. Благодарим Вас за приобретение высококачественного тренажера и желаем успешных тренировок!</w:t>
      </w:r>
      <w:r>
        <w:rPr>
          <w:rFonts w:ascii="Arial" w:hAnsi="Arial" w:cs="Arial"/>
          <w:color w:val="231f20"/>
          <w:spacing w:val="5"/>
          <w:sz w:val="20"/>
          <w:szCs w:val="20"/>
        </w:rPr>
      </w:r>
    </w:p>
    <w:p>
      <w:pPr>
        <w:ind w:right="-24"/>
        <w:jc w:val="both"/>
        <w:rPr>
          <w:rFonts w:ascii="Arial" w:hAnsi="Arial" w:cs="Arial"/>
          <w:color w:val="231f20"/>
          <w:spacing w:val="5"/>
          <w:sz w:val="20"/>
          <w:szCs w:val="20"/>
        </w:rPr>
      </w:pPr>
      <w:r>
        <w:rPr>
          <w:rFonts w:ascii="Arial" w:hAnsi="Arial" w:cs="Arial"/>
          <w:color w:val="231f20"/>
          <w:spacing w:val="5"/>
          <w:sz w:val="20"/>
          <w:szCs w:val="20"/>
        </w:rPr>
      </w:r>
      <w:r>
        <w:rPr>
          <w:rFonts w:ascii="Arial" w:hAnsi="Arial" w:cs="Arial"/>
          <w:color w:val="231f20"/>
          <w:spacing w:val="5"/>
          <w:sz w:val="20"/>
          <w:szCs w:val="20"/>
        </w:rPr>
      </w:r>
    </w:p>
    <w:p>
      <w:pPr>
        <w:ind w:right="-24"/>
        <w:jc w:val="both"/>
        <w:rPr>
          <w:rFonts w:ascii="Arial" w:hAnsi="Arial" w:cs="Arial"/>
          <w:color w:val="231f20"/>
          <w:spacing w:val="5"/>
          <w:sz w:val="20"/>
          <w:szCs w:val="20"/>
        </w:rPr>
      </w:pPr>
      <w:r>
        <w:rPr>
          <w:rFonts w:ascii="Arial" w:hAnsi="Arial" w:cs="Arial"/>
          <w:color w:val="231f20"/>
          <w:spacing w:val="5"/>
          <w:sz w:val="20"/>
          <w:szCs w:val="20"/>
        </w:rPr>
        <w:t xml:space="preserve">Тренажеры Impulse и AeroFit проходят многоступенчатое тестирование, чтобы максимально снизить возможность брака и гарантировать бесперебойные продолжительные тренировки в течение длительного времени. </w:t>
      </w:r>
      <w:r>
        <w:rPr>
          <w:rFonts w:ascii="Arial" w:hAnsi="Arial" w:cs="Arial"/>
          <w:color w:val="231f20"/>
          <w:spacing w:val="5"/>
          <w:sz w:val="20"/>
          <w:szCs w:val="20"/>
        </w:rPr>
      </w:r>
    </w:p>
    <w:p>
      <w:pPr>
        <w:ind w:right="-24"/>
        <w:jc w:val="both"/>
        <w:rPr>
          <w:rFonts w:eastAsia="SimSun" w:cs="Times New Roman"/>
          <w:sz w:val="24"/>
          <w:szCs w:val="24"/>
          <w:lang w:eastAsia="zh-CN"/>
        </w:rPr>
      </w:pPr>
      <w:r>
        <w:rPr>
          <w:rFonts w:eastAsia="SimSun" w:cs="Times New Roman"/>
          <w:sz w:val="24"/>
          <w:szCs w:val="24"/>
          <w:lang w:eastAsia="zh-CN"/>
        </w:rPr>
      </w:r>
      <w:r>
        <w:rPr>
          <w:rFonts w:eastAsia="SimSun" w:cs="Times New Roman"/>
          <w:sz w:val="24"/>
          <w:szCs w:val="24"/>
          <w:lang w:eastAsia="zh-CN"/>
        </w:rPr>
      </w:r>
    </w:p>
    <w:p>
      <w:pPr>
        <w:ind w:right="-24"/>
        <w:jc w:val="both"/>
        <w:rPr>
          <w:rFonts w:ascii="Arial" w:hAnsi="Arial" w:cs="Arial"/>
          <w:color w:val="231f20"/>
          <w:spacing w:val="5"/>
          <w:sz w:val="20"/>
          <w:szCs w:val="20"/>
        </w:rPr>
      </w:pPr>
      <w:r>
        <w:rPr>
          <w:rFonts w:ascii="Arial" w:hAnsi="Arial" w:cs="Arial"/>
          <w:color w:val="231f20"/>
          <w:spacing w:val="5"/>
          <w:sz w:val="20"/>
          <w:szCs w:val="20"/>
        </w:rPr>
        <w:t xml:space="preserve">Если Вам нужна помощь в настройке тренажеров Impulse и/или AeroFit или пришло время проводить периодическое сервисное обслуживание, просим связаться с официальным сервисным центром ООО «СПОРТРУС» по контактному телефону: 8(495) 771-12-21 (многоканальный).</w:t>
      </w:r>
      <w:r>
        <w:rPr>
          <w:rFonts w:ascii="Arial" w:hAnsi="Arial" w:cs="Arial"/>
          <w:color w:val="231f20"/>
          <w:spacing w:val="5"/>
          <w:sz w:val="20"/>
          <w:szCs w:val="20"/>
        </w:rPr>
      </w:r>
    </w:p>
    <w:p>
      <w:pPr>
        <w:ind w:right="-24"/>
        <w:jc w:val="both"/>
        <w:rPr>
          <w:rFonts w:ascii="Arial" w:hAnsi="Arial" w:cs="Arial"/>
          <w:color w:val="231f20"/>
          <w:spacing w:val="5"/>
          <w:sz w:val="20"/>
          <w:szCs w:val="20"/>
        </w:rPr>
      </w:pPr>
      <w:r>
        <w:rPr>
          <w:rFonts w:ascii="Arial" w:hAnsi="Arial" w:cs="Arial"/>
          <w:color w:val="231f20"/>
          <w:spacing w:val="5"/>
          <w:sz w:val="20"/>
          <w:szCs w:val="20"/>
        </w:rPr>
        <w:t xml:space="preserve">Для оформления заявки по сервису и запроса на запчасти заполните форму онлайн-заявки на сайте </w:t>
      </w:r>
      <w:hyperlink r:id="rId19" w:tooltip="http://www.aerofit.ru" w:history="1">
        <w:r>
          <w:rPr>
            <w:rFonts w:ascii="Arial" w:hAnsi="Arial" w:cs="Arial"/>
            <w:color w:val="231f20"/>
            <w:spacing w:val="5"/>
            <w:sz w:val="20"/>
            <w:szCs w:val="20"/>
          </w:rPr>
          <w:t xml:space="preserve">www.aerofit.ru</w:t>
        </w:r>
      </w:hyperlink>
      <w:r>
        <w:rPr>
          <w:rFonts w:ascii="Arial" w:hAnsi="Arial" w:cs="Arial"/>
          <w:color w:val="231f20"/>
          <w:spacing w:val="5"/>
          <w:sz w:val="20"/>
          <w:szCs w:val="20"/>
        </w:rPr>
        <w:t xml:space="preserve">. Согласно статистическим данным, профессиональное регулярное обслуживание тренажеров продлевает срок службы оборудования минимум в 2 раза и тем самым значительно экономит Ваши деньги.</w:t>
      </w:r>
      <w:r>
        <w:rPr>
          <w:rFonts w:ascii="Arial" w:hAnsi="Arial" w:cs="Arial"/>
          <w:color w:val="231f20"/>
          <w:spacing w:val="5"/>
          <w:sz w:val="20"/>
          <w:szCs w:val="20"/>
        </w:rPr>
      </w:r>
    </w:p>
    <w:p>
      <w:pPr>
        <w:ind w:right="249"/>
        <w:rPr>
          <w:rFonts w:eastAsia="SimSun" w:cs="Times New Roman"/>
          <w:b/>
          <w:sz w:val="24"/>
          <w:szCs w:val="24"/>
          <w:lang w:eastAsia="zh-CN"/>
        </w:rPr>
      </w:pPr>
      <w:r>
        <w:rPr>
          <w:rFonts w:eastAsia="SimSun" w:cs="Times New Roman"/>
          <w:b/>
          <w:sz w:val="24"/>
          <w:szCs w:val="24"/>
          <w:lang w:eastAsia="zh-CN"/>
        </w:rPr>
      </w:r>
      <w:r>
        <w:rPr>
          <w:rFonts w:eastAsia="SimSun" w:cs="Times New Roman"/>
          <w:b/>
          <w:sz w:val="24"/>
          <w:szCs w:val="24"/>
          <w:lang w:eastAsia="zh-CN"/>
        </w:rPr>
      </w:r>
    </w:p>
    <w:p>
      <w:pPr>
        <w:ind w:right="109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spacing w:val="5"/>
          <w:sz w:val="20"/>
          <w:szCs w:val="20"/>
        </w:rPr>
        <w:t xml:space="preserve">Организация-импортер</w:t>
      </w:r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ООО «СПОРТРУС»</w:t>
      </w:r>
      <w:r>
        <w:rPr>
          <w:rFonts w:ascii="Arial" w:hAnsi="Arial" w:cs="Arial"/>
          <w:sz w:val="20"/>
          <w:szCs w:val="20"/>
        </w:rPr>
      </w:r>
    </w:p>
    <w:p>
      <w:pPr>
        <w:ind w:right="-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Официальный представитель</w:t>
      </w:r>
      <w:r>
        <w:rPr>
          <w:rFonts w:ascii="Arial" w:hAnsi="Arial" w:cs="Arial"/>
          <w:sz w:val="20"/>
          <w:szCs w:val="20"/>
        </w:rPr>
        <w:t xml:space="preserve"> спортивного оборудования торговых марок AeroFit</w:t>
      </w:r>
      <w:r>
        <w:rPr>
          <w:rFonts w:ascii="Arial" w:hAnsi="Arial" w:cs="Arial"/>
          <w:sz w:val="20"/>
          <w:szCs w:val="20"/>
        </w:rPr>
        <w:t xml:space="preserve"> и Impulse на территории Российской Федерации и СНГ</w:t>
      </w:r>
      <w:r>
        <w:rPr>
          <w:rFonts w:ascii="Arial" w:hAnsi="Arial" w:cs="Arial"/>
          <w:sz w:val="20"/>
          <w:szCs w:val="20"/>
        </w:rPr>
      </w:r>
    </w:p>
    <w:p>
      <w:pPr>
        <w:ind w:right="1091"/>
        <w:rPr>
          <w:rFonts w:ascii="Arial" w:hAnsi="Arial" w:eastAsia="SimSun" w:cs="Arial"/>
          <w:sz w:val="20"/>
          <w:szCs w:val="20"/>
          <w:lang w:eastAsia="zh-CN"/>
        </w:rPr>
      </w:pPr>
      <w:r>
        <w:rPr>
          <w:rFonts w:ascii="Arial" w:hAnsi="Arial" w:eastAsia="SimSun" w:cs="Arial"/>
          <w:sz w:val="20"/>
          <w:szCs w:val="20"/>
          <w:lang w:eastAsia="zh-CN"/>
        </w:rPr>
        <w:t xml:space="preserve">Юридический адрес: </w:t>
      </w:r>
      <w:r>
        <w:rPr>
          <w:rFonts w:ascii="Arial" w:hAnsi="Arial" w:eastAsia="SimSun" w:cs="Arial"/>
          <w:sz w:val="20"/>
          <w:szCs w:val="20"/>
          <w:lang w:eastAsia="zh-CN"/>
        </w:rPr>
      </w:r>
    </w:p>
    <w:p>
      <w:pPr>
        <w:ind w:right="-24"/>
        <w:rPr>
          <w:rFonts w:ascii="Arial" w:hAnsi="Arial" w:eastAsia="SimSun" w:cs="Arial"/>
          <w:sz w:val="20"/>
          <w:szCs w:val="20"/>
          <w:lang w:eastAsia="zh-CN"/>
        </w:rPr>
      </w:pPr>
      <w:r>
        <w:rPr>
          <w:rFonts w:ascii="Arial" w:hAnsi="Arial" w:eastAsia="SimSun" w:cs="Arial"/>
          <w:sz w:val="20"/>
          <w:szCs w:val="20"/>
          <w:lang w:eastAsia="zh-CN"/>
        </w:rPr>
        <w:t xml:space="preserve">105082, Москва г, </w:t>
      </w:r>
      <w:r>
        <w:rPr>
          <w:rFonts w:ascii="Arial" w:hAnsi="Arial" w:eastAsia="SimSun" w:cs="Arial"/>
          <w:sz w:val="20"/>
          <w:szCs w:val="20"/>
          <w:lang w:eastAsia="zh-CN"/>
        </w:rPr>
        <w:t xml:space="preserve">вн.тер.г</w:t>
      </w:r>
      <w:r>
        <w:rPr>
          <w:rFonts w:ascii="Arial" w:hAnsi="Arial" w:eastAsia="SimSun" w:cs="Arial"/>
          <w:sz w:val="20"/>
          <w:szCs w:val="20"/>
          <w:lang w:eastAsia="zh-CN"/>
        </w:rPr>
        <w:t xml:space="preserve">. муниципальный округ </w:t>
      </w:r>
      <w:r>
        <w:rPr>
          <w:rFonts w:ascii="Arial" w:hAnsi="Arial" w:eastAsia="SimSun" w:cs="Arial"/>
          <w:sz w:val="20"/>
          <w:szCs w:val="20"/>
          <w:lang w:eastAsia="zh-CN"/>
        </w:rPr>
        <w:t xml:space="preserve">Басманный</w:t>
      </w:r>
      <w:r>
        <w:rPr>
          <w:rFonts w:ascii="Arial" w:hAnsi="Arial" w:eastAsia="SimSun" w:cs="Arial"/>
          <w:sz w:val="20"/>
          <w:szCs w:val="20"/>
          <w:lang w:eastAsia="zh-CN"/>
        </w:rPr>
        <w:t xml:space="preserve">, </w:t>
      </w:r>
      <w:r>
        <w:rPr>
          <w:rFonts w:ascii="Arial" w:hAnsi="Arial" w:eastAsia="SimSun" w:cs="Arial"/>
          <w:sz w:val="20"/>
          <w:szCs w:val="20"/>
          <w:lang w:eastAsia="zh-CN"/>
        </w:rPr>
        <w:t xml:space="preserve">ул. </w:t>
      </w:r>
      <w:r>
        <w:rPr>
          <w:rFonts w:ascii="Arial" w:hAnsi="Arial" w:eastAsia="SimSun" w:cs="Arial"/>
          <w:sz w:val="20"/>
          <w:szCs w:val="20"/>
          <w:lang w:eastAsia="zh-CN"/>
        </w:rPr>
        <w:t xml:space="preserve">Бакунинская</w:t>
      </w:r>
      <w:r>
        <w:rPr>
          <w:rFonts w:ascii="Arial" w:hAnsi="Arial" w:eastAsia="SimSun" w:cs="Arial"/>
          <w:sz w:val="20"/>
          <w:szCs w:val="20"/>
          <w:lang w:eastAsia="zh-CN"/>
        </w:rPr>
        <w:t xml:space="preserve">, д. 69, стр. 1, </w:t>
      </w:r>
      <w:r>
        <w:rPr>
          <w:rFonts w:ascii="Arial" w:hAnsi="Arial" w:eastAsia="SimSun" w:cs="Arial"/>
          <w:sz w:val="20"/>
          <w:szCs w:val="20"/>
          <w:lang w:eastAsia="zh-CN"/>
        </w:rPr>
        <w:t xml:space="preserve">помещ</w:t>
      </w:r>
      <w:r>
        <w:rPr>
          <w:rFonts w:ascii="Arial" w:hAnsi="Arial" w:eastAsia="SimSun" w:cs="Arial"/>
          <w:sz w:val="20"/>
          <w:szCs w:val="20"/>
          <w:lang w:eastAsia="zh-CN"/>
        </w:rPr>
        <w:t xml:space="preserve">. 35/1</w:t>
      </w:r>
      <w:r>
        <w:rPr>
          <w:rFonts w:ascii="Arial" w:hAnsi="Arial" w:eastAsia="SimSun" w:cs="Arial"/>
          <w:sz w:val="20"/>
          <w:szCs w:val="20"/>
          <w:lang w:eastAsia="zh-CN"/>
        </w:rPr>
      </w:r>
    </w:p>
    <w:p>
      <w:pPr>
        <w:ind w:right="1091"/>
        <w:rPr>
          <w:rFonts w:ascii="Arial" w:hAnsi="Arial" w:eastAsia="SimSun" w:cs="Arial"/>
          <w:sz w:val="20"/>
          <w:szCs w:val="20"/>
          <w:lang w:eastAsia="zh-CN"/>
        </w:rPr>
      </w:pPr>
      <w:r>
        <w:rPr>
          <w:rFonts w:ascii="Arial" w:hAnsi="Arial" w:eastAsia="SimSun" w:cs="Arial"/>
          <w:sz w:val="20"/>
          <w:szCs w:val="20"/>
          <w:lang w:eastAsia="zh-CN"/>
        </w:rPr>
        <w:t xml:space="preserve">Фактический адрес: </w:t>
      </w:r>
      <w:r>
        <w:rPr>
          <w:rFonts w:ascii="Arial" w:hAnsi="Arial" w:eastAsia="SimSun" w:cs="Arial"/>
          <w:sz w:val="20"/>
          <w:szCs w:val="20"/>
          <w:lang w:eastAsia="zh-CN"/>
        </w:rPr>
      </w:r>
    </w:p>
    <w:p>
      <w:pPr>
        <w:ind w:right="685"/>
        <w:rPr>
          <w:rFonts w:ascii="Arial" w:hAnsi="Arial" w:eastAsia="SimSun" w:cs="Arial"/>
          <w:sz w:val="20"/>
          <w:szCs w:val="20"/>
          <w:lang w:eastAsia="zh-CN"/>
        </w:rPr>
      </w:pPr>
      <w:r>
        <w:rPr>
          <w:rFonts w:ascii="Arial" w:hAnsi="Arial" w:eastAsia="SimSun" w:cs="Arial"/>
          <w:sz w:val="20"/>
          <w:szCs w:val="20"/>
          <w:lang w:eastAsia="zh-CN"/>
        </w:rPr>
        <w:t xml:space="preserve">142704, г. Москва, поселение Мосрентген, деревня Мамыри12, строение 10 </w:t>
      </w:r>
      <w:r>
        <w:rPr>
          <w:rFonts w:ascii="Arial" w:hAnsi="Arial" w:eastAsia="SimSun" w:cs="Arial"/>
          <w:sz w:val="20"/>
          <w:szCs w:val="20"/>
          <w:lang w:eastAsia="zh-CN"/>
        </w:rPr>
      </w:r>
    </w:p>
    <w:p>
      <w:pPr>
        <w:ind w:right="685"/>
        <w:rPr>
          <w:rFonts w:ascii="Arial" w:hAnsi="Arial" w:eastAsia="SimSun" w:cs="Arial"/>
          <w:sz w:val="20"/>
          <w:szCs w:val="20"/>
          <w:lang w:eastAsia="zh-CN"/>
        </w:rPr>
      </w:pPr>
      <w:r>
        <w:rPr>
          <w:rFonts w:ascii="Arial" w:hAnsi="Arial" w:eastAsia="SimSun" w:cs="Arial"/>
          <w:sz w:val="20"/>
          <w:szCs w:val="20"/>
          <w:lang w:eastAsia="zh-CN"/>
        </w:rPr>
        <w:t xml:space="preserve">Телефон отдела продаж: 8(495) 771-12-22</w:t>
      </w:r>
      <w:r>
        <w:rPr>
          <w:rFonts w:ascii="Arial" w:hAnsi="Arial" w:eastAsia="SimSun" w:cs="Arial"/>
          <w:sz w:val="20"/>
          <w:szCs w:val="20"/>
          <w:lang w:eastAsia="zh-CN"/>
        </w:rPr>
      </w:r>
    </w:p>
    <w:p>
      <w:pPr>
        <w:ind w:right="685"/>
        <w:rPr>
          <w:rFonts w:ascii="Arial" w:hAnsi="Arial" w:eastAsia="SimSun" w:cs="Arial"/>
          <w:sz w:val="20"/>
          <w:szCs w:val="20"/>
          <w:lang w:eastAsia="zh-CN"/>
        </w:rPr>
      </w:pPr>
      <w:r>
        <w:rPr>
          <w:rFonts w:ascii="Arial" w:hAnsi="Arial" w:eastAsia="SimSun" w:cs="Arial"/>
          <w:sz w:val="20"/>
          <w:szCs w:val="20"/>
          <w:lang w:eastAsia="zh-CN"/>
        </w:rPr>
        <w:t xml:space="preserve">Телефон сервисного отдела: 8(495) 771-12-21</w:t>
      </w:r>
      <w:r>
        <w:rPr>
          <w:rFonts w:ascii="Arial" w:hAnsi="Arial" w:eastAsia="SimSun" w:cs="Arial"/>
          <w:sz w:val="20"/>
          <w:szCs w:val="20"/>
          <w:lang w:eastAsia="zh-CN"/>
        </w:rPr>
      </w:r>
    </w:p>
    <w:p>
      <w:pPr>
        <w:ind w:right="1091"/>
        <w:rPr>
          <w:rFonts w:ascii="Arial" w:hAnsi="Arial" w:cs="Arial"/>
          <w:b/>
          <w:color w:val="1e1916"/>
          <w:spacing w:val="3"/>
          <w:sz w:val="20"/>
          <w:szCs w:val="20"/>
        </w:rPr>
      </w:pPr>
      <w:r>
        <w:rPr>
          <w:rFonts w:ascii="Arial" w:hAnsi="Arial" w:eastAsia="SimSun" w:cs="Arial"/>
          <w:sz w:val="20"/>
          <w:szCs w:val="20"/>
          <w:lang w:eastAsia="zh-CN"/>
        </w:rPr>
        <w:t xml:space="preserve">Официальный сайт: </w:t>
      </w:r>
      <w:hyperlink r:id="rId20" w:tooltip="http://www.aerofit.ru" w:history="1">
        <w:r>
          <w:rPr>
            <w:rStyle w:val="758"/>
            <w:rFonts w:ascii="Arial" w:hAnsi="Arial" w:cs="Arial"/>
            <w:b/>
            <w:spacing w:val="3"/>
            <w:sz w:val="20"/>
            <w:szCs w:val="20"/>
          </w:rPr>
          <w:t xml:space="preserve">www.aerofit.ru</w:t>
        </w:r>
      </w:hyperlink>
      <w:r/>
      <w:r>
        <w:rPr>
          <w:rFonts w:ascii="Arial" w:hAnsi="Arial" w:cs="Arial"/>
          <w:b/>
          <w:color w:val="1e1916"/>
          <w:spacing w:val="3"/>
          <w:sz w:val="20"/>
          <w:szCs w:val="20"/>
        </w:rPr>
      </w:r>
    </w:p>
    <w:sectPr>
      <w:headerReference w:type="default" r:id="rId9"/>
      <w:footerReference w:type="default" r:id="rId10"/>
      <w:footnotePr/>
      <w:endnotePr/>
      <w:type w:val="continuous"/>
      <w:pgSz w:w="11905" w:h="16837" w:orient="portrait"/>
      <w:pgMar w:top="1134" w:right="850" w:bottom="1134" w:left="1276" w:header="720" w:footer="72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20603020101020101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Segoe UI">
    <w:panose1 w:val="020B0502040504020204"/>
  </w:font>
  <w:font w:name="Verdana">
    <w:panose1 w:val="020B0604030504040204"/>
  </w:font>
  <w:font w:name="Noto Sans Mono CJK JP Regular">
    <w:panose1 w:val="020B060403050404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30529086"/>
      <w:docPartObj>
        <w:docPartGallery w:val="Page Numbers (Bottom of Page)"/>
        <w:docPartUnique w:val="true"/>
      </w:docPartObj>
      <w:rPr/>
    </w:sdtPr>
    <w:sdtContent>
      <w:p>
        <w:pPr>
          <w:pStyle w:val="74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7</w:t>
        </w:r>
        <w:r>
          <w:fldChar w:fldCharType="end"/>
        </w:r>
        <w:r/>
      </w:p>
    </w:sdtContent>
  </w:sdt>
  <w:p>
    <w:pPr>
      <w:pStyle w:val="74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</w:pPr>
    <w:r>
      <w:rPr>
        <w:rFonts w:ascii="Verdana"/>
        <w:b/>
        <w:color w:val="1e1916"/>
        <w:sz w:val="48"/>
        <w:szCs w:val="48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1311" behindDoc="0" locked="0" layoutInCell="1" allowOverlap="1">
              <wp:simplePos x="0" y="0"/>
              <wp:positionH relativeFrom="column">
                <wp:posOffset>5069368</wp:posOffset>
              </wp:positionH>
              <wp:positionV relativeFrom="paragraph">
                <wp:posOffset>-386715</wp:posOffset>
              </wp:positionV>
              <wp:extent cx="1403287" cy="414904"/>
              <wp:effectExtent l="0" t="0" r="6985" b="4445"/>
              <wp:wrapNone/>
              <wp:docPr id="1" name="Рисунок 37" descr="D:\YandexDisk-Ludmila.G.K\ВЭД\Логотипы_СпортРус_Aerofit\aerofit1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7" descr="D:\YandexDisk-Ludmila.G.K\ВЭД\Логотипы_СпортРус_Aerofit\aerofit1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03287" cy="4149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251661311;o:allowoverlap:true;o:allowincell:true;mso-position-horizontal-relative:text;margin-left:399.16pt;mso-position-horizontal:absolute;mso-position-vertical-relative:text;margin-top:-30.45pt;mso-position-vertical:absolute;width:110.50pt;height:32.67pt;mso-wrap-distance-left:9.00pt;mso-wrap-distance-top:0.00pt;mso-wrap-distance-right:9.00pt;mso-wrap-distance-bottom:0.00pt;" stroked="f">
              <v:path textboxrect="0,0,0,0"/>
              <v:imagedata r:id="rId1" o:title="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7214" behindDoc="0" locked="0" layoutInCell="1" allowOverlap="1">
              <wp:simplePos x="0" y="0"/>
              <wp:positionH relativeFrom="column">
                <wp:posOffset>-810260</wp:posOffset>
              </wp:positionH>
              <wp:positionV relativeFrom="paragraph">
                <wp:posOffset>-466254</wp:posOffset>
              </wp:positionV>
              <wp:extent cx="7575550" cy="542925"/>
              <wp:effectExtent l="0" t="0" r="6350" b="9525"/>
              <wp:wrapNone/>
              <wp:docPr id="2" name="Rectangle 11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75550" cy="5429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1" type="#_x0000_t1" style="position:absolute;z-index:251657214;o:allowoverlap:true;o:allowincell:true;mso-position-horizontal-relative:text;margin-left:-63.80pt;mso-position-horizontal:absolute;mso-position-vertical-relative:text;margin-top:-36.71pt;mso-position-vertical:absolute;width:596.50pt;height:42.75pt;mso-wrap-distance-left:9.00pt;mso-wrap-distance-top:0.00pt;mso-wrap-distance-right:9.00pt;mso-wrap-distance-bottom:0.00pt;visibility:visible;" fillcolor="#BEBEBE" stroked="f"/>
          </w:pict>
        </mc:Fallback>
      </mc:AlternateContent>
    </w:r>
    <w:r>
      <w:rPr>
        <w:color w:val="ff000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3" behindDoc="0" locked="0" layoutInCell="1" allowOverlap="1">
              <wp:simplePos x="0" y="0"/>
              <wp:positionH relativeFrom="column">
                <wp:posOffset>-655955</wp:posOffset>
              </wp:positionH>
              <wp:positionV relativeFrom="paragraph">
                <wp:posOffset>-466052</wp:posOffset>
              </wp:positionV>
              <wp:extent cx="2164080" cy="542925"/>
              <wp:effectExtent l="0" t="0" r="7620" b="0"/>
              <wp:wrapNone/>
              <wp:docPr id="3" name="Рисунок 35" descr="D:\YandexDisk-Ludmila.G.K\ВЭД\Логотипы_СпортРус_Aerofit\SportRus_Logo_ENG_Final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:\YandexDisk-Ludmila.G.K\ВЭД\Логотипы_СпортРус_Aerofit\SportRus_Logo_ENG_Final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2"/>
                      <a:stretch/>
                    </pic:blipFill>
                    <pic:spPr bwMode="auto">
                      <a:xfrm>
                        <a:off x="0" y="0"/>
                        <a:ext cx="216408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position:absolute;z-index:251659263;o:allowoverlap:true;o:allowincell:true;mso-position-horizontal-relative:text;margin-left:-51.65pt;mso-position-horizontal:absolute;mso-position-vertical-relative:text;margin-top:-36.70pt;mso-position-vertical:absolute;width:170.40pt;height:42.75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96" w:hanging="360"/>
      </w:pPr>
      <w:rPr>
        <w:rFonts w:hint="default" w:ascii="Arial" w:hAnsi="Arial" w:cs="Arial"/>
        <w:sz w:val="20"/>
        <w:szCs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1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5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0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17" w:hanging="261"/>
      </w:pPr>
      <w:rPr>
        <w:rFonts w:hint="default" w:ascii="Arial" w:hAnsi="Arial" w:eastAsia="Arial" w:cs="Arial"/>
        <w:color w:val="231f20"/>
        <w:spacing w:val="0"/>
        <w:sz w:val="20"/>
        <w:szCs w:val="20"/>
      </w:rPr>
    </w:lvl>
    <w:lvl w:ilvl="1">
      <w:start w:val="1"/>
      <w:numFmt w:val="bullet"/>
      <w:isLgl w:val="false"/>
      <w:suff w:val="tab"/>
      <w:lvlText w:val="•"/>
      <w:lvlJc w:val="left"/>
      <w:pPr>
        <w:ind w:left="1296" w:hanging="261"/>
      </w:pPr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72" w:hanging="261"/>
      </w:pPr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3048" w:hanging="261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924" w:hanging="261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801" w:hanging="261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677" w:hanging="261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6553" w:hanging="261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7429" w:hanging="261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0" w:hanging="360"/>
      </w:pPr>
      <w:rPr>
        <w:rFonts w:hint="default" w:ascii="Arial" w:hAnsi="Arial" w:cs="Arial"/>
      </w:rPr>
    </w:lvl>
    <w:lvl w:ilvl="1">
      <w:start w:val="1"/>
      <w:numFmt w:val="lowerLetter"/>
      <w:isLgl w:val="false"/>
      <w:suff w:val="tab"/>
      <w:lvlText w:val="%2."/>
      <w:lvlJc w:val="left"/>
      <w:pPr>
        <w:ind w:left="15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0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739"/>
    <w:next w:val="739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74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43"/>
    <w:link w:val="740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43"/>
    <w:link w:val="74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39"/>
    <w:next w:val="739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4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39"/>
    <w:next w:val="739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4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43"/>
    <w:link w:val="74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39"/>
    <w:next w:val="739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4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39"/>
    <w:next w:val="739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4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39"/>
    <w:next w:val="739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4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39"/>
    <w:next w:val="739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43"/>
    <w:link w:val="35"/>
    <w:uiPriority w:val="10"/>
    <w:rPr>
      <w:sz w:val="48"/>
      <w:szCs w:val="48"/>
    </w:rPr>
  </w:style>
  <w:style w:type="paragraph" w:styleId="37">
    <w:name w:val="Subtitle"/>
    <w:basedOn w:val="739"/>
    <w:next w:val="739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43"/>
    <w:link w:val="37"/>
    <w:uiPriority w:val="11"/>
    <w:rPr>
      <w:sz w:val="24"/>
      <w:szCs w:val="24"/>
    </w:rPr>
  </w:style>
  <w:style w:type="paragraph" w:styleId="39">
    <w:name w:val="Quote"/>
    <w:basedOn w:val="739"/>
    <w:next w:val="739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39"/>
    <w:next w:val="739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43"/>
    <w:link w:val="747"/>
    <w:uiPriority w:val="99"/>
  </w:style>
  <w:style w:type="character" w:styleId="46">
    <w:name w:val="Footer Char"/>
    <w:basedOn w:val="743"/>
    <w:link w:val="749"/>
    <w:uiPriority w:val="99"/>
  </w:style>
  <w:style w:type="paragraph" w:styleId="47">
    <w:name w:val="Caption"/>
    <w:basedOn w:val="739"/>
    <w:next w:val="739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43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739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43"/>
    <w:uiPriority w:val="99"/>
    <w:unhideWhenUsed/>
    <w:rPr>
      <w:vertAlign w:val="superscript"/>
    </w:rPr>
  </w:style>
  <w:style w:type="paragraph" w:styleId="179">
    <w:name w:val="endnote text"/>
    <w:basedOn w:val="739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43"/>
    <w:uiPriority w:val="99"/>
    <w:semiHidden/>
    <w:unhideWhenUsed/>
    <w:rPr>
      <w:vertAlign w:val="superscript"/>
    </w:rPr>
  </w:style>
  <w:style w:type="paragraph" w:styleId="182">
    <w:name w:val="toc 1"/>
    <w:basedOn w:val="739"/>
    <w:next w:val="739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39"/>
    <w:next w:val="739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39"/>
    <w:next w:val="739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39"/>
    <w:next w:val="739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39"/>
    <w:next w:val="739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39"/>
    <w:next w:val="739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39"/>
    <w:next w:val="739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39"/>
    <w:next w:val="739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39"/>
    <w:next w:val="739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39"/>
    <w:next w:val="739"/>
    <w:uiPriority w:val="99"/>
    <w:unhideWhenUsed/>
    <w:pPr>
      <w:spacing w:after="0" w:afterAutospacing="0"/>
    </w:pPr>
  </w:style>
  <w:style w:type="paragraph" w:styleId="739" w:default="1">
    <w:name w:val="Normal"/>
    <w:qFormat/>
  </w:style>
  <w:style w:type="paragraph" w:styleId="740">
    <w:name w:val="Heading 2"/>
    <w:basedOn w:val="739"/>
    <w:link w:val="746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741">
    <w:name w:val="Heading 3"/>
    <w:basedOn w:val="739"/>
    <w:next w:val="739"/>
    <w:link w:val="753"/>
    <w:uiPriority w:val="9"/>
    <w:unhideWhenUsed/>
    <w:qFormat/>
    <w:pPr>
      <w:keepLines/>
      <w:keepNext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742">
    <w:name w:val="Heading 6"/>
    <w:basedOn w:val="739"/>
    <w:next w:val="739"/>
    <w:link w:val="754"/>
    <w:uiPriority w:val="9"/>
    <w:unhideWhenUsed/>
    <w:qFormat/>
    <w:pPr>
      <w:keepLines/>
      <w:keepNext/>
      <w:spacing w:before="40" w:after="0"/>
      <w:outlineLvl w:val="5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743" w:default="1">
    <w:name w:val="Default Paragraph Font"/>
    <w:uiPriority w:val="1"/>
    <w:semiHidden/>
    <w:unhideWhenUsed/>
  </w:style>
  <w:style w:type="table" w:styleId="7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5" w:default="1">
    <w:name w:val="No List"/>
    <w:uiPriority w:val="99"/>
    <w:semiHidden/>
    <w:unhideWhenUsed/>
  </w:style>
  <w:style w:type="character" w:styleId="746" w:customStyle="1">
    <w:name w:val="Заголовок 2 Знак"/>
    <w:basedOn w:val="743"/>
    <w:link w:val="740"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747">
    <w:name w:val="Header"/>
    <w:basedOn w:val="739"/>
    <w:link w:val="74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48" w:customStyle="1">
    <w:name w:val="Верхний колонтитул Знак"/>
    <w:basedOn w:val="743"/>
    <w:link w:val="747"/>
    <w:uiPriority w:val="99"/>
  </w:style>
  <w:style w:type="paragraph" w:styleId="749">
    <w:name w:val="Footer"/>
    <w:basedOn w:val="739"/>
    <w:link w:val="75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50" w:customStyle="1">
    <w:name w:val="Нижний колонтитул Знак"/>
    <w:basedOn w:val="743"/>
    <w:link w:val="749"/>
    <w:uiPriority w:val="99"/>
  </w:style>
  <w:style w:type="paragraph" w:styleId="751">
    <w:name w:val="Body Text"/>
    <w:basedOn w:val="739"/>
    <w:link w:val="752"/>
    <w:uiPriority w:val="1"/>
    <w:qFormat/>
    <w:pPr>
      <w:spacing w:after="0" w:line="240" w:lineRule="auto"/>
      <w:widowControl w:val="off"/>
    </w:pPr>
    <w:rPr>
      <w:rFonts w:ascii="Noto Sans Mono CJK JP Regular" w:hAnsi="Noto Sans Mono CJK JP Regular" w:eastAsia="Noto Sans Mono CJK JP Regular" w:cs="Noto Sans Mono CJK JP Regular"/>
      <w:sz w:val="32"/>
      <w:szCs w:val="32"/>
      <w:lang w:val="en-US" w:eastAsia="en-US"/>
    </w:rPr>
  </w:style>
  <w:style w:type="character" w:styleId="752" w:customStyle="1">
    <w:name w:val="Основной текст Знак"/>
    <w:basedOn w:val="743"/>
    <w:link w:val="751"/>
    <w:uiPriority w:val="1"/>
    <w:rPr>
      <w:rFonts w:ascii="Noto Sans Mono CJK JP Regular" w:hAnsi="Noto Sans Mono CJK JP Regular" w:eastAsia="Noto Sans Mono CJK JP Regular" w:cs="Noto Sans Mono CJK JP Regular"/>
      <w:sz w:val="32"/>
      <w:szCs w:val="32"/>
      <w:lang w:val="en-US" w:eastAsia="en-US"/>
    </w:rPr>
  </w:style>
  <w:style w:type="character" w:styleId="753" w:customStyle="1">
    <w:name w:val="Заголовок 3 Знак"/>
    <w:basedOn w:val="743"/>
    <w:link w:val="741"/>
    <w:uiPriority w:val="9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754" w:customStyle="1">
    <w:name w:val="Заголовок 6 Знак"/>
    <w:basedOn w:val="743"/>
    <w:link w:val="742"/>
    <w:uiPriority w:val="9"/>
    <w:rPr>
      <w:rFonts w:asciiTheme="majorHAnsi" w:hAnsiTheme="majorHAnsi" w:eastAsiaTheme="majorEastAsia" w:cstheme="majorBidi"/>
      <w:color w:val="1f4d78" w:themeColor="accent1" w:themeShade="7F"/>
    </w:rPr>
  </w:style>
  <w:style w:type="table" w:styleId="755">
    <w:name w:val="Table Grid"/>
    <w:basedOn w:val="74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56" w:customStyle="1">
    <w:name w:val="formattext"/>
    <w:basedOn w:val="73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57">
    <w:name w:val="List Paragraph"/>
    <w:basedOn w:val="739"/>
    <w:uiPriority w:val="1"/>
    <w:qFormat/>
    <w:pPr>
      <w:contextualSpacing/>
      <w:ind w:left="720"/>
    </w:pPr>
  </w:style>
  <w:style w:type="character" w:styleId="758">
    <w:name w:val="Hyperlink"/>
    <w:basedOn w:val="743"/>
    <w:uiPriority w:val="99"/>
    <w:unhideWhenUsed/>
    <w:rPr>
      <w:color w:val="0563c1" w:themeColor="hyperlink"/>
      <w:u w:val="single"/>
    </w:rPr>
  </w:style>
  <w:style w:type="paragraph" w:styleId="759">
    <w:name w:val="Balloon Text"/>
    <w:basedOn w:val="739"/>
    <w:link w:val="76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0" w:customStyle="1">
    <w:name w:val="Текст выноски Знак"/>
    <w:basedOn w:val="743"/>
    <w:link w:val="759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hyperlink" Target="http://www.aerofit.ru/" TargetMode="External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hyperlink" Target="http://www.aerofit.ru" TargetMode="External"/><Relationship Id="rId20" Type="http://schemas.openxmlformats.org/officeDocument/2006/relationships/hyperlink" Target="http://www.aerofi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A2BE7-8F36-4A2F-9967-0C3F82CD8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Kryuchkova</dc:creator>
  <cp:lastModifiedBy>Янис Сидаев</cp:lastModifiedBy>
  <cp:revision>31</cp:revision>
  <dcterms:created xsi:type="dcterms:W3CDTF">2019-04-01T08:48:00Z</dcterms:created>
  <dcterms:modified xsi:type="dcterms:W3CDTF">2026-06-02T14:26:59Z</dcterms:modified>
</cp:coreProperties>
</file>